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06" w:type="dxa"/>
        <w:jc w:val="left"/>
        <w:tblInd w:w="0" w:type="dxa"/>
        <w:tblLayout w:type="fixed"/>
        <w:tblCellMar>
          <w:top w:w="28" w:type="dxa"/>
          <w:left w:w="28" w:type="dxa"/>
          <w:bottom w:w="28" w:type="dxa"/>
          <w:right w:w="28" w:type="dxa"/>
        </w:tblCellMar>
      </w:tblPr>
      <w:tblGrid>
        <w:gridCol w:w="6106"/>
      </w:tblGrid>
      <w:tr>
        <w:trPr/>
        <w:tc>
          <w:tcPr>
            <w:tcW w:w="61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left"/>
              <w:rPr/>
            </w:pPr>
            <w:r>
              <w:rPr/>
              <w:t xml:space="preserve">UNDER THE SECURITIES EXCHANGE ACT OF 1934 </w:t>
            </w:r>
          </w:p>
        </w:tc>
      </w:tr>
      <w:tr>
        <w:trPr/>
        <w:tc>
          <w:tcPr>
            <w:tcW w:w="610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GRAIL,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4,161,584.00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4,161,584.00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4,161,584.00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GRAIL,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1525 O'Brien Drive, Menlo Park, California 94025</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the Shares that the Farallon Funds currently have the right to acquire upon the exercise of Warrants (as defined in Item 4); and (ii) The following persons, each of whom is a managing member or senior managing member, as the case may be, of the Investment Manager,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securities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 As of the date requiring the filing of this statement, the Farallon Funds hold an aggregate of: (i) 3,590,563 Shares; and (ii) 571,021 Pre-Funded Common Stock Purchase Warrants (the "Warrants"), each of which is exercisable, subject to the Beneficial Ownership Limitation (as defined below), to purchase one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statement, the Beneficial Ownership Limitation does not prevent the Farallon Funds from exercising any Warrants. Accordingly, in providing the beneficial ownership information set forth herein, the Reporting Persons have assumed that all of the aggregate 571,021 Warrants held by the Farallon Funds are exercisable within 60 days of the date hereof and therefore confer beneficial ownership of the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Dated: August 13, 2026</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sz w:val="20"/>
              </w:rPr>
            </w:pPr>
            <w:r>
              <w:rPr>
                <w:sz w:val="20"/>
              </w:rPr>
              <w:t>By Hannah E. Dunn, Managing Member</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 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5584</Words>
  <Characters>28930</Characters>
  <CharactersWithSpaces>33955</CharactersWithSpaces>
  <Paragraphs>1471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