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838835</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864235</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8"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w:t>
      </w:r>
    </w:p>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47"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w:t>
      </w:r>
    </w:p>
    <w:p>
      <w:pPr>
        <w:spacing w:after="0" w:line="9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1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1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September 11, 2025</w:t>
      </w:r>
    </w:p>
    <w:p>
      <w:pPr>
        <w:spacing w:after="0" w:line="30"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w:t>
      </w:r>
    </w:p>
    <w:p>
      <w:pPr>
        <w:spacing w:after="0" w:line="8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GRAIL, Inc.</w:t>
      </w:r>
    </w:p>
    <w:p>
      <w:pPr>
        <w:spacing w:after="0" w:line="1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12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w:t>
      </w:r>
    </w:p>
    <w:p>
      <w:pPr>
        <w:sectPr>
          <w:pgSz w:w="11900" w:h="16838" w:orient="portrait"/>
          <w:cols w:equalWidth="0" w:num="1">
            <w:col w:w="11220"/>
          </w:cols>
          <w:pgMar w:left="320" w:top="1434" w:right="359" w:bottom="1440" w:gutter="0" w:footer="0" w:header="0"/>
        </w:sectPr>
      </w:pPr>
    </w:p>
    <w:p>
      <w:pPr>
        <w:spacing w:after="0" w:line="55"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001-42045</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86-3673636</w:t>
      </w:r>
    </w:p>
    <w:p>
      <w:pPr>
        <w:spacing w:after="0" w:line="71" w:lineRule="exact"/>
        <w:rPr>
          <w:sz w:val="24"/>
          <w:szCs w:val="24"/>
          <w:color w:val="auto"/>
        </w:rPr>
      </w:pPr>
    </w:p>
    <w:p>
      <w:pPr>
        <w:sectPr>
          <w:pgSz w:w="11900" w:h="16838" w:orient="portrait"/>
          <w:cols w:equalWidth="0" w:num="3">
            <w:col w:w="4520" w:space="720"/>
            <w:col w:w="2980" w:space="720"/>
            <w:col w:w="2280"/>
          </w:cols>
          <w:pgMar w:left="320" w:top="1434" w:right="35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6"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6"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10" w:lineRule="exact"/>
        <w:rPr>
          <w:sz w:val="24"/>
          <w:szCs w:val="24"/>
          <w:color w:val="auto"/>
        </w:rPr>
      </w:pPr>
    </w:p>
    <w:p>
      <w:pPr>
        <w:sectPr>
          <w:pgSz w:w="11900" w:h="16838" w:orient="portrait"/>
          <w:cols w:equalWidth="0" w:num="3">
            <w:col w:w="4500" w:space="720"/>
            <w:col w:w="2860" w:space="720"/>
            <w:col w:w="2420"/>
          </w:cols>
          <w:pgMar w:left="320" w:top="1434" w:right="3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1525 O’Brien Drive Menlo Park, California 94025</w:t>
      </w:r>
    </w:p>
    <w:p>
      <w:pPr>
        <w:spacing w:after="0" w:line="23"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2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(833) 694-2553</w:t>
      </w:r>
    </w:p>
    <w:p>
      <w:pPr>
        <w:spacing w:after="0" w:line="2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8"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w:t>
      </w:r>
    </w:p>
    <w:p>
      <w:pPr>
        <w:sectPr>
          <w:pgSz w:w="11900" w:h="16838" w:orient="portrait"/>
          <w:cols w:equalWidth="0" w:num="1">
            <w:col w:w="11220"/>
          </w:cols>
          <w:pgMar w:left="320" w:top="1434" w:right="359" w:bottom="1440" w:gutter="0" w:footer="0" w:header="0"/>
          <w:type w:val="continuous"/>
        </w:sectPr>
      </w:pPr>
    </w:p>
    <w:p>
      <w:pPr>
        <w:spacing w:after="0" w:line="11" w:lineRule="exact"/>
        <w:rPr>
          <w:sz w:val="24"/>
          <w:szCs w:val="24"/>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7" w:lineRule="exact"/>
        <w:rPr>
          <w:sz w:val="24"/>
          <w:szCs w:val="24"/>
          <w:color w:val="auto"/>
        </w:rPr>
      </w:pPr>
    </w:p>
    <w:p>
      <w:pPr>
        <w:ind w:left="360" w:hanging="33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68" w:lineRule="exact"/>
        <w:rPr>
          <w:rFonts w:ascii="MS PGothic" w:cs="MS PGothic" w:eastAsia="MS PGothic" w:hAnsi="MS PGothic"/>
          <w:sz w:val="18"/>
          <w:szCs w:val="18"/>
          <w:color w:val="auto"/>
        </w:rPr>
      </w:pPr>
    </w:p>
    <w:p>
      <w:pPr>
        <w:ind w:left="360" w:hanging="33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8" w:lineRule="exact"/>
        <w:rPr>
          <w:rFonts w:ascii="MS PGothic" w:cs="MS PGothic" w:eastAsia="MS PGothic" w:hAnsi="MS PGothic"/>
          <w:sz w:val="18"/>
          <w:szCs w:val="18"/>
          <w:color w:val="auto"/>
        </w:rPr>
      </w:pPr>
    </w:p>
    <w:p>
      <w:pPr>
        <w:ind w:left="360" w:hanging="33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68" w:lineRule="exact"/>
        <w:rPr>
          <w:rFonts w:ascii="MS PGothic" w:cs="MS PGothic" w:eastAsia="MS PGothic" w:hAnsi="MS PGothic"/>
          <w:sz w:val="18"/>
          <w:szCs w:val="18"/>
          <w:color w:val="auto"/>
        </w:rPr>
      </w:pPr>
    </w:p>
    <w:p>
      <w:pPr>
        <w:ind w:left="360" w:hanging="33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187"/>
        </w:trPr>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9"/>
        </w:trPr>
        <w:tc>
          <w:tcPr>
            <w:tcW w:w="4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520" w:type="dxa"/>
            <w:vAlign w:val="bottom"/>
            <w:tcBorders>
              <w:bottom w:val="single" w:sz="8" w:color="auto"/>
            </w:tcBorders>
          </w:tcPr>
          <w:p>
            <w:pPr>
              <w:spacing w:after="0"/>
              <w:rPr>
                <w:sz w:val="3"/>
                <w:szCs w:val="3"/>
                <w:color w:val="auto"/>
              </w:rPr>
            </w:pPr>
          </w:p>
        </w:tc>
      </w:tr>
      <w:tr>
        <w:trPr>
          <w:trHeight w:val="235"/>
        </w:trPr>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GRAL</w:t>
            </w: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bl>
    <w:p>
      <w:pPr>
        <w:spacing w:after="0" w:line="209" w:lineRule="exact"/>
        <w:rPr>
          <w:sz w:val="24"/>
          <w:szCs w:val="24"/>
          <w:color w:val="auto"/>
        </w:rPr>
      </w:pPr>
    </w:p>
    <w:p>
      <w:pPr>
        <w:ind w:right="520"/>
        <w:spacing w:after="0" w:line="27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6"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676910</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15875</wp:posOffset>
            </wp:positionV>
            <wp:extent cx="7132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41910</wp:posOffset>
            </wp:positionV>
            <wp:extent cx="7132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20"/>
          </w:cols>
          <w:pgMar w:left="320" w:top="1434" w:right="359" w:bottom="1440" w:gutter="0" w:footer="0" w:header="0"/>
          <w:type w:val="continuous"/>
        </w:sectPr>
      </w:pPr>
    </w:p>
    <w:bookmarkStart w:id="1" w:name="page2"/>
    <w:bookmarkEnd w:id="1"/>
    <w:p>
      <w:pPr>
        <w:ind w:left="2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00" w:lineRule="exact"/>
        <w:rPr>
          <w:sz w:val="20"/>
          <w:szCs w:val="20"/>
          <w:color w:val="auto"/>
        </w:rPr>
      </w:pPr>
    </w:p>
    <w:p>
      <w:pPr>
        <w:spacing w:after="0" w:line="201" w:lineRule="exact"/>
        <w:rPr>
          <w:sz w:val="20"/>
          <w:szCs w:val="20"/>
          <w:color w:val="auto"/>
        </w:rPr>
      </w:pPr>
    </w:p>
    <w:p>
      <w:pPr>
        <w:ind w:firstLine="403"/>
        <w:spacing w:after="0" w:line="384" w:lineRule="auto"/>
        <w:rPr>
          <w:sz w:val="20"/>
          <w:szCs w:val="20"/>
          <w:color w:val="auto"/>
        </w:rPr>
      </w:pPr>
      <w:r>
        <w:rPr>
          <w:rFonts w:ascii="Times New Roman" w:cs="Times New Roman" w:eastAsia="Times New Roman" w:hAnsi="Times New Roman"/>
          <w:sz w:val="18"/>
          <w:szCs w:val="18"/>
          <w:color w:val="auto"/>
        </w:rPr>
        <w:t xml:space="preserve">On September 11, 2025, GRAIL, Inc. (the “Company”) entered into a commercial lease agreement (the “Lease”) with Sunnyvale Office Acquisition, LLC pursuant to which the Company agreed to lease an aggregate of approximately 75,556 rentable square feet for a new corporate headquarters located at 250 S. Matilda Avenue in Sunnyvale, California. The Lease is expected to commence on or about October 1, 2026 and expire on or about September 30, 2037, subject to adjustments provided in the Lease. The Lease provides for initial base rent of approximately $449,558 per month (increasing annually by approximately 5%) plus net charges for items such as the Company’s actual building direct expenses, taxes and additional net charges. The Company has the option to expand into additional space and renew the Lease for an additional five-year term under specified conditions. The Lease requires the Company to provide a letter of credit as security. </w:t>
      </w:r>
      <w:r>
        <w:rPr>
          <w:rFonts w:ascii="Times New Roman" w:cs="Times New Roman" w:eastAsia="Times New Roman" w:hAnsi="Times New Roman"/>
          <w:sz w:val="18"/>
          <w:szCs w:val="18"/>
          <w:color w:val="212529"/>
        </w:rPr>
        <w:t>The Lease contains customary representations and warranties, covenants, obligations and indemnities in favor of either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party.</w:t>
      </w:r>
    </w:p>
    <w:p>
      <w:pPr>
        <w:spacing w:after="0" w:line="169" w:lineRule="exact"/>
        <w:rPr>
          <w:sz w:val="20"/>
          <w:szCs w:val="20"/>
          <w:color w:val="auto"/>
        </w:rPr>
      </w:pPr>
    </w:p>
    <w:p>
      <w:pPr>
        <w:ind w:right="420" w:firstLine="644"/>
        <w:spacing w:after="0" w:line="404" w:lineRule="auto"/>
        <w:rPr>
          <w:sz w:val="20"/>
          <w:szCs w:val="20"/>
          <w:color w:val="auto"/>
        </w:rPr>
      </w:pPr>
      <w:r>
        <w:rPr>
          <w:rFonts w:ascii="Times New Roman" w:cs="Times New Roman" w:eastAsia="Times New Roman" w:hAnsi="Times New Roman"/>
          <w:sz w:val="18"/>
          <w:szCs w:val="18"/>
          <w:color w:val="212529"/>
        </w:rPr>
        <w:t>The foregoing description of the Lease does not purport to be complete and is qualified in its entirety by reference to the full text of the Lease, which is filed as Exhibit 10.1 to this Current Report on Form 8-K.</w:t>
      </w:r>
    </w:p>
    <w:p>
      <w:pPr>
        <w:spacing w:after="0" w:line="145" w:lineRule="exact"/>
        <w:rPr>
          <w:sz w:val="20"/>
          <w:szCs w:val="20"/>
          <w:color w:val="auto"/>
        </w:rPr>
      </w:pPr>
    </w:p>
    <w:p>
      <w:pPr>
        <w:ind w:left="2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3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included in Item 1.01 of this Current Report on Form 8-K is incorporated into this Item 2.03 by reference.</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40" w:type="dxa"/>
            <w:vAlign w:val="bottom"/>
          </w:tcPr>
          <w:p>
            <w:pPr>
              <w:spacing w:after="0"/>
              <w:rPr>
                <w:sz w:val="20"/>
                <w:szCs w:val="20"/>
                <w:color w:val="auto"/>
              </w:rPr>
            </w:pPr>
          </w:p>
        </w:tc>
        <w:tc>
          <w:tcPr>
            <w:tcW w:w="98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22"/>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2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8"/>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p>
        </w:tc>
        <w:tc>
          <w:tcPr>
            <w:tcW w:w="101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Lease, dated September 11, 2025, by and between GRAIL, Inc. and Sunnyvale Office Acquisition, LLC</w:t>
            </w:r>
          </w:p>
        </w:tc>
      </w:tr>
      <w:tr>
        <w:trPr>
          <w:trHeight w:val="1302"/>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440" w:type="dxa"/>
            <w:vAlign w:val="bottom"/>
            <w:tcBorders>
              <w:top w:val="single" w:sz="8" w:color="0000FF"/>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6" w:lineRule="exact"/>
        <w:rPr>
          <w:sz w:val="20"/>
          <w:szCs w:val="20"/>
          <w:color w:val="auto"/>
        </w:rPr>
      </w:pPr>
    </w:p>
    <w:p>
      <w:pPr>
        <w:ind w:right="420" w:firstLine="644"/>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04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GRAIL, INC.</w:t>
            </w:r>
          </w:p>
        </w:tc>
        <w:tc>
          <w:tcPr>
            <w:tcW w:w="4280" w:type="dxa"/>
            <w:vAlign w:val="bottom"/>
          </w:tcPr>
          <w:p>
            <w:pPr>
              <w:spacing w:after="0"/>
              <w:rPr>
                <w:sz w:val="20"/>
                <w:szCs w:val="20"/>
                <w:color w:val="auto"/>
              </w:rPr>
            </w:pPr>
          </w:p>
        </w:tc>
      </w:tr>
      <w:tr>
        <w:trPr>
          <w:trHeight w:val="537"/>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September 17, 2025</w:t>
            </w:r>
          </w:p>
        </w:tc>
        <w:tc>
          <w:tcPr>
            <w:tcW w:w="30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Abram Barth</w:t>
            </w:r>
          </w:p>
        </w:tc>
      </w:tr>
      <w:tr>
        <w:trPr>
          <w:trHeight w:val="27"/>
        </w:trPr>
        <w:tc>
          <w:tcPr>
            <w:tcW w:w="58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304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35"/>
        </w:trPr>
        <w:tc>
          <w:tcPr>
            <w:tcW w:w="5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0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Name:</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Abram Barth</w:t>
            </w:r>
          </w:p>
        </w:tc>
      </w:tr>
      <w:tr>
        <w:trPr>
          <w:trHeight w:val="268"/>
        </w:trPr>
        <w:tc>
          <w:tcPr>
            <w:tcW w:w="58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30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Title:</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ectPr>
          <w:pgSz w:w="11900" w:h="16838" w:orient="portrait"/>
          <w:cols w:equalWidth="0" w:num="1">
            <w:col w:w="11240"/>
          </w:cols>
          <w:pgMar w:left="320" w:top="1137"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361315</wp:posOffset>
            </wp:positionV>
            <wp:extent cx="7059930" cy="102431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243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1612265</wp:posOffset>
            </wp:positionV>
            <wp:extent cx="706183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380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380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1782445</wp:posOffset>
            </wp:positionV>
            <wp:extent cx="706183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1782445</wp:posOffset>
            </wp:positionV>
            <wp:extent cx="706183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1782445</wp:posOffset>
            </wp:positionV>
            <wp:extent cx="706183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88900</wp:posOffset>
            </wp:positionV>
            <wp:extent cx="7061835" cy="1697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61835" cy="1697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88900</wp:posOffset>
            </wp:positionV>
            <wp:extent cx="7061835" cy="1706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61835" cy="1706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88900</wp:posOffset>
            </wp:positionV>
            <wp:extent cx="7061835" cy="1706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61835" cy="1706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88900</wp:posOffset>
            </wp:positionV>
            <wp:extent cx="7061835" cy="1697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61835" cy="1697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1782445</wp:posOffset>
            </wp:positionV>
            <wp:extent cx="706183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1782445</wp:posOffset>
            </wp:positionV>
            <wp:extent cx="706183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1782445</wp:posOffset>
            </wp:positionV>
            <wp:extent cx="706183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1782445</wp:posOffset>
            </wp:positionV>
            <wp:extent cx="706183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1782445</wp:posOffset>
            </wp:positionV>
            <wp:extent cx="706183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1782445</wp:posOffset>
            </wp:positionV>
            <wp:extent cx="706183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1782445</wp:posOffset>
            </wp:positionV>
            <wp:extent cx="706183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1782445</wp:posOffset>
            </wp:positionV>
            <wp:extent cx="706183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1782445</wp:posOffset>
            </wp:positionV>
            <wp:extent cx="706183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1791335</wp:posOffset>
            </wp:positionV>
            <wp:extent cx="706183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1782445</wp:posOffset>
            </wp:positionV>
            <wp:extent cx="706183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61835" cy="20955"/>
                    </a:xfrm>
                    <a:prstGeom prst="rect">
                      <a:avLst/>
                    </a:prstGeom>
                    <a:noFill/>
                  </pic:spPr>
                </pic:pic>
              </a:graphicData>
            </a:graphic>
          </wp:anchor>
        </w:drawing>
        <w:drawing>
          <wp:anchor simplePos="0" relativeHeight="251657728" behindDoc="1" locked="0" layoutInCell="0" allowOverlap="1">
            <wp:simplePos x="0" y="0"/>
            <wp:positionH relativeFrom="page">
              <wp:posOffset>344170</wp:posOffset>
            </wp:positionH>
            <wp:positionV relativeFrom="page">
              <wp:posOffset>88900</wp:posOffset>
            </wp:positionV>
            <wp:extent cx="7059930" cy="1534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534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514985</wp:posOffset>
            </wp:positionV>
            <wp:extent cx="7059930" cy="100895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7059930" cy="10089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342265</wp:posOffset>
            </wp:positionH>
            <wp:positionV relativeFrom="page">
              <wp:posOffset>88900</wp:posOffset>
            </wp:positionV>
            <wp:extent cx="7061835" cy="16979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061835" cy="1697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2025-09-18T05:20:14Z</dcterms:created>
  <dcterms:modified xsi:type="dcterms:W3CDTF">2025-09-18T05:20:14Z</dcterms:modified>
</cp:coreProperties>
</file>