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40" w:after="283"/>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240" w:after="283"/>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240" w:after="283"/>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___________________________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FORM 10-K</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___________________________</w:t>
      </w:r>
    </w:p>
    <w:p>
      <w:pPr>
        <w:pStyle w:val="TextBody"/>
        <w:bidi w:val="0"/>
        <w:spacing w:lineRule="auto" w:line="333" w:before="16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333" w:before="160" w:after="283"/>
        <w:jc w:val="center"/>
        <w:rPr>
          <w:rFonts w:ascii="Times New Roman;serif" w:hAnsi="Times New Roman;serif"/>
          <w:b/>
          <w:color w:val="181717"/>
          <w:sz w:val="20"/>
        </w:rPr>
      </w:pPr>
      <w:r>
        <w:rPr>
          <w:rFonts w:ascii="Times New Roman;serif" w:hAnsi="Times New Roman;serif"/>
          <w:b/>
          <w:color w:val="181717"/>
          <w:sz w:val="20"/>
        </w:rPr>
        <w:t>For the fiscal year ended December 31, 2025</w:t>
      </w:r>
    </w:p>
    <w:p>
      <w:pPr>
        <w:pStyle w:val="TextBody"/>
        <w:bidi w:val="0"/>
        <w:spacing w:lineRule="auto" w:line="333" w:before="160" w:after="16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160" w:after="283"/>
        <w:jc w:val="center"/>
        <w:rPr>
          <w:rFonts w:ascii="Times New Roman;serif" w:hAnsi="Times New Roman;serif"/>
          <w:b/>
          <w:color w:val="181717"/>
          <w:sz w:val="20"/>
        </w:rPr>
      </w:pPr>
      <w:r>
        <w:rPr>
          <w:rFonts w:ascii="Times New Roman;serif" w:hAnsi="Times New Roman;serif"/>
          <w:b/>
          <w:color w:val="181717"/>
          <w:sz w:val="20"/>
        </w:rPr>
        <w:t xml:space="preserve">For the transition period from to </w:t>
      </w:r>
    </w:p>
    <w:p>
      <w:pPr>
        <w:pStyle w:val="TextBody"/>
        <w:bidi w:val="0"/>
        <w:spacing w:lineRule="auto" w:line="333" w:before="160" w:after="283"/>
        <w:jc w:val="center"/>
        <w:rPr>
          <w:rFonts w:ascii="Times New Roman;serif" w:hAnsi="Times New Roman;serif"/>
          <w:b/>
          <w:color w:val="181717"/>
          <w:sz w:val="20"/>
        </w:rPr>
      </w:pPr>
      <w:r>
        <w:rPr>
          <w:rFonts w:ascii="Times New Roman;serif" w:hAnsi="Times New Roman;serif"/>
          <w:b/>
          <w:color w:val="181717"/>
          <w:sz w:val="20"/>
        </w:rPr>
        <w:t>Commission file number 001-42045</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___________________________</w:t>
      </w:r>
    </w:p>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GRAIL, Inc.</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___________________________</w:t>
      </w:r>
    </w:p>
    <w:p>
      <w:pPr>
        <w:pStyle w:val="TextBody"/>
        <w:bidi w:val="0"/>
        <w:spacing w:lineRule="auto" w:line="333" w:before="160" w:after="283"/>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86-3673636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Menlo Park,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94025</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(833) 694-2553</w:t>
      </w:r>
    </w:p>
    <w:p>
      <w:pPr>
        <w:pStyle w:val="TextBody"/>
        <w:bidi w:val="0"/>
        <w:spacing w:lineRule="auto" w:line="333" w:before="240" w:after="283"/>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8399" w:type="dxa"/>
        <w:jc w:val="left"/>
        <w:tblInd w:w="0" w:type="dxa"/>
        <w:tblLayout w:type="fixed"/>
        <w:tblCellMar>
          <w:top w:w="28" w:type="dxa"/>
          <w:left w:w="28" w:type="dxa"/>
          <w:bottom w:w="28" w:type="dxa"/>
          <w:right w:w="28" w:type="dxa"/>
        </w:tblCellMar>
      </w:tblPr>
      <w:tblGrid>
        <w:gridCol w:w="1041"/>
        <w:gridCol w:w="914"/>
        <w:gridCol w:w="925"/>
        <w:gridCol w:w="564"/>
        <w:gridCol w:w="564"/>
        <w:gridCol w:w="566"/>
        <w:gridCol w:w="1118"/>
        <w:gridCol w:w="1118"/>
        <w:gridCol w:w="1589"/>
      </w:tblGrid>
      <w:tr>
        <w:trPr/>
        <w:tc>
          <w:tcPr>
            <w:tcW w:w="104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GRAL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333" w:before="160" w:after="283"/>
        <w:jc w:val="center"/>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12(g) of the Act: None</w:t>
      </w:r>
    </w:p>
    <w:p>
      <w:pPr>
        <w:pStyle w:val="TextBody"/>
        <w:bidi w:val="0"/>
        <w:spacing w:before="160" w:after="283"/>
        <w:jc w:val="center"/>
        <w:rPr/>
      </w:pPr>
      <w:r>
        <w:rPr/>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a well-known seasoned issuer, as defined in Rule 405 of the Securities Act.</w:t>
      </w:r>
    </w:p>
    <w:p>
      <w:pPr>
        <w:pStyle w:val="TextBody"/>
        <w:bidi w:val="0"/>
        <w:spacing w:lineRule="auto" w:line="333" w:before="240" w:after="283"/>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not required to file reports pursuant to Section 13 or Section 15(d) of the Act.</w:t>
      </w:r>
    </w:p>
    <w:p>
      <w:pPr>
        <w:pStyle w:val="TextBody"/>
        <w:bidi w:val="0"/>
        <w:spacing w:lineRule="auto" w:line="333" w:before="240" w:after="283"/>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240" w:after="283"/>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240" w:after="283"/>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333" w:before="160" w:after="16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240" w:after="283"/>
        <w:jc w:val="right"/>
        <w:rPr>
          <w:rFonts w:ascii="Wingdings;sans-serif" w:hAnsi="Wingdings;sans-serif"/>
          <w:b w:val="false"/>
          <w:color w:val="181717"/>
          <w:sz w:val="20"/>
        </w:rPr>
      </w:pPr>
      <w:r>
        <w:rPr>
          <w:rFonts w:ascii="Wingdings;sans-serif" w:hAnsi="Wingdings;sans-serif"/>
          <w:b w:val="false"/>
          <w:color w:val="181717"/>
          <w:sz w:val="20"/>
        </w:rPr>
        <w:t>x</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333" w:before="240" w:after="283"/>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33" w:before="240" w:after="283"/>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33" w:before="240" w:after="283"/>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333"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333" w:before="240" w:after="283"/>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240" w:after="283"/>
        <w:jc w:val="left"/>
        <w:rPr/>
      </w:pPr>
      <w:r>
        <w:rPr>
          <w:rFonts w:ascii="Times New Roman;serif" w:hAnsi="Times New Roman;serif"/>
          <w:b w:val="false"/>
          <w:color w:val="181717"/>
          <w:sz w:val="20"/>
        </w:rPr>
        <w:t xml:space="preserve">The aggregate market value of the voting and non-voting common equity held by non-affiliates of the Registrant, as of the last business day of the Registrant’s most recently completed second fiscal quarter was approximately </w:t>
      </w:r>
      <w:r>
        <w:rPr>
          <w:rFonts w:ascii="Times New Roman;serif" w:hAnsi="Times New Roman;serif"/>
          <w:b w:val="false"/>
          <w:color w:val="000000"/>
          <w:sz w:val="20"/>
        </w:rPr>
        <w:t>$1.9 billion</w:t>
      </w:r>
      <w:r>
        <w:rPr>
          <w:color w:val="181717"/>
        </w:rPr>
        <w:t xml:space="preserve"> </w:t>
      </w:r>
      <w:r>
        <w:rPr>
          <w:rFonts w:ascii="Times New Roman;serif" w:hAnsi="Times New Roman;serif"/>
          <w:b w:val="false"/>
          <w:color w:val="181717"/>
          <w:sz w:val="20"/>
        </w:rPr>
        <w:t xml:space="preserve">(based on the closing price of the Registrant’s Common Stock on June 30, 2025 of </w:t>
      </w:r>
      <w:r>
        <w:rPr>
          <w:rFonts w:ascii="Times New Roman;serif" w:hAnsi="Times New Roman;serif"/>
          <w:b w:val="false"/>
          <w:color w:val="000000"/>
          <w:sz w:val="20"/>
        </w:rPr>
        <w:t>$51.42</w:t>
      </w:r>
      <w:r>
        <w:rPr>
          <w:color w:val="181717"/>
        </w:rPr>
        <w:t xml:space="preserve"> </w:t>
      </w:r>
      <w:r>
        <w:rPr>
          <w:rFonts w:ascii="Times New Roman;serif" w:hAnsi="Times New Roman;serif"/>
          <w:b w:val="false"/>
          <w:color w:val="181717"/>
          <w:sz w:val="20"/>
        </w:rPr>
        <w:t>per share).</w:t>
      </w:r>
    </w:p>
    <w:p>
      <w:pPr>
        <w:pStyle w:val="TextBody"/>
        <w:bidi w:val="0"/>
        <w:spacing w:lineRule="auto" w:line="288" w:before="240" w:after="283"/>
        <w:jc w:val="left"/>
        <w:rPr/>
      </w:pPr>
      <w:r>
        <w:rPr>
          <w:rFonts w:ascii="Times New Roman;serif" w:hAnsi="Times New Roman;serif"/>
          <w:b w:val="false"/>
          <w:color w:val="181717"/>
          <w:sz w:val="20"/>
        </w:rPr>
        <w:t xml:space="preserve">As of </w:t>
      </w:r>
      <w:r>
        <w:rPr>
          <w:rFonts w:ascii="Times New Roman;serif" w:hAnsi="Times New Roman;serif"/>
          <w:b w:val="false"/>
          <w:color w:val="000000"/>
          <w:sz w:val="20"/>
        </w:rPr>
        <w:t>March 6, 2026</w:t>
      </w:r>
      <w:r>
        <w:rPr>
          <w:rFonts w:ascii="Times New Roman;serif" w:hAnsi="Times New Roman;serif"/>
          <w:b w:val="false"/>
          <w:color w:val="181717"/>
          <w:sz w:val="20"/>
        </w:rPr>
        <w:t>, the registrant had 41,020,255 shares of common stock, par value $0.001 per share, outstanding.</w:t>
      </w:r>
    </w:p>
    <w:p>
      <w:pPr>
        <w:pStyle w:val="TextBody"/>
        <w:bidi w:val="0"/>
        <w:spacing w:lineRule="auto" w:line="333" w:before="160" w:after="283"/>
        <w:jc w:val="center"/>
        <w:rPr>
          <w:rFonts w:ascii="Times New Roman;serif" w:hAnsi="Times New Roman;serif"/>
          <w:b w:val="false"/>
          <w:color w:val="181717"/>
          <w:sz w:val="20"/>
        </w:rPr>
      </w:pPr>
      <w:r>
        <w:rPr>
          <w:rFonts w:ascii="Times New Roman;serif" w:hAnsi="Times New Roman;serif"/>
          <w:b w:val="false"/>
          <w:color w:val="181717"/>
          <w:sz w:val="20"/>
        </w:rPr>
        <w:t>DOCUMENTS INCORPORATED BY REFERENCE</w:t>
      </w:r>
    </w:p>
    <w:p>
      <w:pPr>
        <w:pStyle w:val="TextBody"/>
        <w:bidi w:val="0"/>
        <w:spacing w:lineRule="auto" w:line="268" w:before="0" w:after="0"/>
        <w:jc w:val="left"/>
        <w:rPr/>
      </w:pPr>
      <w:r>
        <w:rPr>
          <w:rFonts w:ascii="Times New Roman;serif" w:hAnsi="Times New Roman;serif"/>
          <w:b w:val="false"/>
          <w:color w:val="181717"/>
          <w:sz w:val="20"/>
        </w:rPr>
        <w:t xml:space="preserve">Portions of the registrant’s definitive Proxy Statement relating to its </w:t>
      </w:r>
      <w:r>
        <w:rPr>
          <w:rFonts w:ascii="Times New Roman;serif" w:hAnsi="Times New Roman;serif"/>
          <w:b w:val="false"/>
          <w:color w:val="000000"/>
          <w:sz w:val="20"/>
        </w:rPr>
        <w:t>2026</w:t>
      </w:r>
      <w:r>
        <w:rPr>
          <w:color w:val="181717"/>
        </w:rPr>
        <w:t xml:space="preserve"> </w:t>
      </w:r>
      <w:r>
        <w:rPr>
          <w:rFonts w:ascii="Times New Roman;serif" w:hAnsi="Times New Roman;serif"/>
          <w:b w:val="false"/>
          <w:color w:val="181717"/>
          <w:sz w:val="20"/>
        </w:rPr>
        <w:t xml:space="preserve">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w:t>
      </w:r>
      <w:r>
        <w:rPr>
          <w:rFonts w:ascii="Times New Roman;serif" w:hAnsi="Times New Roman;serif"/>
          <w:b w:val="false"/>
          <w:color w:val="000000"/>
          <w:sz w:val="20"/>
        </w:rPr>
        <w:t>December 31, 2025</w:t>
      </w:r>
      <w:r>
        <w:rPr>
          <w:rFonts w:ascii="Times New Roman;serif" w:hAnsi="Times New Roman;serif"/>
          <w:b w:val="false"/>
          <w:color w:val="181717"/>
          <w:sz w:val="2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9"/>
        <w:gridCol w:w="324"/>
        <w:gridCol w:w="328"/>
        <w:gridCol w:w="2913"/>
        <w:gridCol w:w="2860"/>
        <w:gridCol w:w="2868"/>
        <w:gridCol w:w="158"/>
        <w:gridCol w:w="158"/>
        <w:gridCol w:w="227"/>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
              <w:r>
                <w:rPr>
                  <w:rStyle w:val="InternetLink"/>
                  <w:rFonts w:ascii="Arial;sans-serif" w:hAnsi="Arial;sans-serif"/>
                  <w:b/>
                  <w:color w:val="0000EE"/>
                  <w:sz w:val="20"/>
                  <w:u w:val="single"/>
                </w:rPr>
                <w:t>PART I</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pPr>
            <w:hyperlink w:anchor="ie35f2f8173af4762a088d6adec8de6cd_16">
              <w:r>
                <w:rPr>
                  <w:rStyle w:val="InternetLink"/>
                  <w:rFonts w:ascii="Arial;sans-serif" w:hAnsi="Arial;sans-serif"/>
                  <w:b w:val="false"/>
                  <w:strike w:val="false"/>
                  <w:dstrike w:val="false"/>
                  <w:color w:val="000000"/>
                  <w:sz w:val="20"/>
                  <w:u w:val="none"/>
                  <w:effect w:val="none"/>
                </w:rPr>
                <w:t>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
              <w:r>
                <w:rPr>
                  <w:rStyle w:val="InternetLink"/>
                  <w:rFonts w:ascii="Arial;sans-serif" w:hAnsi="Arial;sans-serif"/>
                  <w:b w:val="false"/>
                  <w:color w:val="0000EE"/>
                  <w:sz w:val="20"/>
                  <w:u w:val="single"/>
                </w:rPr>
                <w:t>Item 1.</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
              <w:r>
                <w:rPr>
                  <w:rStyle w:val="InternetLink"/>
                  <w:rFonts w:ascii="Arial;sans-serif" w:hAnsi="Arial;sans-serif"/>
                  <w:b w:val="false"/>
                  <w:color w:val="0000EE"/>
                  <w:sz w:val="20"/>
                  <w:u w:val="single"/>
                </w:rPr>
                <w:t>Business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9">
              <w:r>
                <w:rPr>
                  <w:rStyle w:val="InternetLink"/>
                  <w:rFonts w:ascii="Arial;sans-serif" w:hAnsi="Arial;sans-serif"/>
                  <w:b w:val="false"/>
                  <w:strike w:val="false"/>
                  <w:dstrike w:val="false"/>
                  <w:color w:val="000000"/>
                  <w:sz w:val="20"/>
                  <w:u w:val="none"/>
                  <w:effect w:val="none"/>
                </w:rPr>
                <w:t>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2">
              <w:r>
                <w:rPr>
                  <w:rStyle w:val="InternetLink"/>
                  <w:rFonts w:ascii="Arial;sans-serif" w:hAnsi="Arial;sans-serif"/>
                  <w:b w:val="false"/>
                  <w:color w:val="0000EE"/>
                  <w:sz w:val="20"/>
                  <w:u w:val="single"/>
                </w:rPr>
                <w:t>Item 1A.</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2">
              <w:r>
                <w:rPr>
                  <w:rStyle w:val="InternetLink"/>
                  <w:rFonts w:ascii="Arial;sans-serif" w:hAnsi="Arial;sans-serif"/>
                  <w:b w:val="false"/>
                  <w:color w:val="0000EE"/>
                  <w:sz w:val="20"/>
                  <w:u w:val="single"/>
                </w:rPr>
                <w:t>Risk Factors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22">
              <w:r>
                <w:rPr>
                  <w:rStyle w:val="InternetLink"/>
                  <w:rFonts w:ascii="Arial;sans-serif" w:hAnsi="Arial;sans-serif"/>
                  <w:b w:val="false"/>
                  <w:strike w:val="false"/>
                  <w:dstrike w:val="false"/>
                  <w:color w:val="000000"/>
                  <w:sz w:val="20"/>
                  <w:u w:val="none"/>
                  <w:effect w:val="none"/>
                </w:rPr>
                <w:t>53</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5">
              <w:r>
                <w:rPr>
                  <w:rStyle w:val="InternetLink"/>
                  <w:rFonts w:ascii="Arial;sans-serif" w:hAnsi="Arial;sans-serif"/>
                  <w:b w:val="false"/>
                  <w:color w:val="0000EE"/>
                  <w:sz w:val="20"/>
                  <w:u w:val="single"/>
                </w:rPr>
                <w:t>Item 1B.</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5">
              <w:r>
                <w:rPr>
                  <w:rStyle w:val="InternetLink"/>
                  <w:rFonts w:ascii="Arial;sans-serif" w:hAnsi="Arial;sans-serif"/>
                  <w:b w:val="false"/>
                  <w:color w:val="0000EE"/>
                  <w:sz w:val="20"/>
                  <w:u w:val="single"/>
                </w:rPr>
                <w:t>Unresolved Staff Comments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25">
              <w:r>
                <w:rPr>
                  <w:rStyle w:val="InternetLink"/>
                  <w:rFonts w:ascii="Arial;sans-serif" w:hAnsi="Arial;sans-serif"/>
                  <w:b w:val="false"/>
                  <w:strike w:val="false"/>
                  <w:dstrike w:val="false"/>
                  <w:color w:val="000000"/>
                  <w:sz w:val="20"/>
                  <w:u w:val="none"/>
                  <w:effect w:val="none"/>
                </w:rPr>
                <w:t>123</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8">
              <w:r>
                <w:rPr>
                  <w:rStyle w:val="InternetLink"/>
                  <w:rFonts w:ascii="Arial;sans-serif" w:hAnsi="Arial;sans-serif"/>
                  <w:b w:val="false"/>
                  <w:color w:val="0000EE"/>
                  <w:sz w:val="20"/>
                  <w:u w:val="single"/>
                </w:rPr>
                <w:t>Item 1C.</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28">
              <w:r>
                <w:rPr>
                  <w:rStyle w:val="InternetLink"/>
                  <w:rFonts w:ascii="Arial;sans-serif" w:hAnsi="Arial;sans-serif"/>
                  <w:b w:val="false"/>
                  <w:color w:val="0000EE"/>
                  <w:sz w:val="20"/>
                  <w:u w:val="single"/>
                </w:rPr>
                <w:t>Cybersecurity</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28">
              <w:r>
                <w:rPr>
                  <w:rStyle w:val="InternetLink"/>
                  <w:rFonts w:ascii="Arial;sans-serif" w:hAnsi="Arial;sans-serif"/>
                  <w:b w:val="false"/>
                  <w:strike w:val="false"/>
                  <w:dstrike w:val="false"/>
                  <w:color w:val="000000"/>
                  <w:sz w:val="20"/>
                  <w:u w:val="none"/>
                  <w:effect w:val="none"/>
                </w:rPr>
                <w:t>123</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1">
              <w:r>
                <w:rPr>
                  <w:rStyle w:val="InternetLink"/>
                  <w:rFonts w:ascii="Arial;sans-serif" w:hAnsi="Arial;sans-serif"/>
                  <w:b w:val="false"/>
                  <w:color w:val="0000EE"/>
                  <w:sz w:val="20"/>
                  <w:u w:val="single"/>
                </w:rPr>
                <w:t>Item 2.</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1">
              <w:r>
                <w:rPr>
                  <w:rStyle w:val="InternetLink"/>
                  <w:rFonts w:ascii="Arial;sans-serif" w:hAnsi="Arial;sans-serif"/>
                  <w:b w:val="false"/>
                  <w:color w:val="0000EE"/>
                  <w:sz w:val="20"/>
                  <w:u w:val="single"/>
                </w:rPr>
                <w:t>Properties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31">
              <w:r>
                <w:rPr>
                  <w:rStyle w:val="InternetLink"/>
                  <w:rFonts w:ascii="Arial;sans-serif" w:hAnsi="Arial;sans-serif"/>
                  <w:b w:val="false"/>
                  <w:strike w:val="false"/>
                  <w:dstrike w:val="false"/>
                  <w:color w:val="000000"/>
                  <w:sz w:val="20"/>
                  <w:u w:val="none"/>
                  <w:effect w:val="none"/>
                </w:rPr>
                <w:t>126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4">
              <w:r>
                <w:rPr>
                  <w:rStyle w:val="InternetLink"/>
                  <w:rFonts w:ascii="Arial;sans-serif" w:hAnsi="Arial;sans-serif"/>
                  <w:b w:val="false"/>
                  <w:color w:val="0000EE"/>
                  <w:sz w:val="20"/>
                  <w:u w:val="single"/>
                </w:rPr>
                <w:t>Item 3.</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4">
              <w:r>
                <w:rPr>
                  <w:rStyle w:val="InternetLink"/>
                  <w:rFonts w:ascii="Arial;sans-serif" w:hAnsi="Arial;sans-serif"/>
                  <w:b w:val="false"/>
                  <w:color w:val="0000EE"/>
                  <w:sz w:val="20"/>
                  <w:u w:val="single"/>
                </w:rPr>
                <w:t>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34">
              <w:r>
                <w:rPr>
                  <w:rStyle w:val="InternetLink"/>
                  <w:rFonts w:ascii="Arial;sans-serif" w:hAnsi="Arial;sans-serif"/>
                  <w:b w:val="false"/>
                  <w:strike w:val="false"/>
                  <w:dstrike w:val="false"/>
                  <w:color w:val="000000"/>
                  <w:sz w:val="20"/>
                  <w:u w:val="none"/>
                  <w:effect w:val="none"/>
                </w:rPr>
                <w:t>126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7">
              <w:r>
                <w:rPr>
                  <w:rStyle w:val="InternetLink"/>
                  <w:rFonts w:ascii="Arial;sans-serif" w:hAnsi="Arial;sans-serif"/>
                  <w:b w:val="false"/>
                  <w:color w:val="0000EE"/>
                  <w:sz w:val="20"/>
                  <w:u w:val="single"/>
                </w:rPr>
                <w:t>Item 4.</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37">
              <w:r>
                <w:rPr>
                  <w:rStyle w:val="InternetLink"/>
                  <w:rFonts w:ascii="Arial;sans-serif" w:hAnsi="Arial;sans-serif"/>
                  <w:b w:val="false"/>
                  <w:color w:val="0000EE"/>
                  <w:sz w:val="20"/>
                  <w:u w:val="single"/>
                </w:rPr>
                <w:t>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37">
              <w:r>
                <w:rPr>
                  <w:rStyle w:val="InternetLink"/>
                  <w:rFonts w:ascii="Arial;sans-serif" w:hAnsi="Arial;sans-serif"/>
                  <w:b w:val="false"/>
                  <w:strike w:val="false"/>
                  <w:dstrike w:val="false"/>
                  <w:color w:val="000000"/>
                  <w:sz w:val="20"/>
                  <w:u w:val="none"/>
                  <w:effect w:val="none"/>
                </w:rPr>
                <w:t>126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0">
              <w:r>
                <w:rPr>
                  <w:rStyle w:val="InternetLink"/>
                  <w:rFonts w:ascii="Arial;sans-serif" w:hAnsi="Arial;sans-serif"/>
                  <w:b/>
                  <w:color w:val="0000EE"/>
                  <w:sz w:val="20"/>
                  <w:u w:val="single"/>
                </w:rPr>
                <w:t>PART II</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40">
              <w:r>
                <w:rPr>
                  <w:rStyle w:val="InternetLink"/>
                  <w:rFonts w:ascii="Arial;sans-serif" w:hAnsi="Arial;sans-serif"/>
                  <w:b w:val="false"/>
                  <w:strike w:val="false"/>
                  <w:dstrike w:val="false"/>
                  <w:color w:val="000000"/>
                  <w:sz w:val="20"/>
                  <w:u w:val="none"/>
                  <w:effect w:val="none"/>
                </w:rPr>
                <w:t>126</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3">
              <w:r>
                <w:rPr>
                  <w:rStyle w:val="InternetLink"/>
                  <w:rFonts w:ascii="Arial;sans-serif" w:hAnsi="Arial;sans-serif"/>
                  <w:b w:val="false"/>
                  <w:color w:val="0000EE"/>
                  <w:sz w:val="20"/>
                  <w:u w:val="single"/>
                </w:rPr>
                <w:t>Item 5.</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3">
              <w:r>
                <w:rPr>
                  <w:rStyle w:val="InternetLink"/>
                  <w:rFonts w:ascii="Arial;sans-serif" w:hAnsi="Arial;sans-serif"/>
                  <w:b w:val="false"/>
                  <w:color w:val="0000EE"/>
                  <w:sz w:val="20"/>
                  <w:u w:val="single"/>
                </w:rPr>
                <w:t>Market for Registrant’s Common Equity, Related Stockholder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43">
              <w:r>
                <w:rPr>
                  <w:rStyle w:val="InternetLink"/>
                  <w:rFonts w:ascii="Arial;sans-serif" w:hAnsi="Arial;sans-serif"/>
                  <w:b w:val="false"/>
                  <w:strike w:val="false"/>
                  <w:dstrike w:val="false"/>
                  <w:color w:val="000000"/>
                  <w:sz w:val="20"/>
                  <w:u w:val="none"/>
                  <w:effect w:val="none"/>
                </w:rPr>
                <w:t>126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6">
              <w:r>
                <w:rPr>
                  <w:rStyle w:val="InternetLink"/>
                  <w:rFonts w:ascii="Arial;sans-serif" w:hAnsi="Arial;sans-serif"/>
                  <w:b w:val="false"/>
                  <w:color w:val="0000EE"/>
                  <w:sz w:val="20"/>
                  <w:u w:val="single"/>
                </w:rPr>
                <w:t>Item 6.</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6">
              <w:r>
                <w:rPr>
                  <w:rStyle w:val="InternetLink"/>
                  <w:rFonts w:ascii="Arial;sans-serif" w:hAnsi="Arial;sans-serif"/>
                  <w:b w:val="false"/>
                  <w:color w:val="0000EE"/>
                  <w:sz w:val="20"/>
                  <w:u w:val="single"/>
                </w:rPr>
                <w:t>[Reserved]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46">
              <w:r>
                <w:rPr>
                  <w:rStyle w:val="InternetLink"/>
                  <w:rFonts w:ascii="Arial;sans-serif" w:hAnsi="Arial;sans-serif"/>
                  <w:b w:val="false"/>
                  <w:strike w:val="false"/>
                  <w:dstrike w:val="false"/>
                  <w:color w:val="000000"/>
                  <w:sz w:val="20"/>
                  <w:u w:val="none"/>
                  <w:effect w:val="none"/>
                </w:rPr>
                <w:t>127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9">
              <w:r>
                <w:rPr>
                  <w:rStyle w:val="InternetLink"/>
                  <w:rFonts w:ascii="Arial;sans-serif" w:hAnsi="Arial;sans-serif"/>
                  <w:b w:val="false"/>
                  <w:color w:val="0000EE"/>
                  <w:sz w:val="20"/>
                  <w:u w:val="single"/>
                </w:rPr>
                <w:t>Item 7.</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49">
              <w:r>
                <w:rPr>
                  <w:rStyle w:val="InternetLink"/>
                  <w:rFonts w:ascii="Arial;sans-serif" w:hAnsi="Arial;sans-serif"/>
                  <w:b w:val="false"/>
                  <w:color w:val="0000EE"/>
                  <w:sz w:val="20"/>
                  <w:u w:val="singl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49">
              <w:r>
                <w:rPr>
                  <w:rStyle w:val="InternetLink"/>
                  <w:rFonts w:ascii="Arial;sans-serif" w:hAnsi="Arial;sans-serif"/>
                  <w:b w:val="false"/>
                  <w:strike w:val="false"/>
                  <w:dstrike w:val="false"/>
                  <w:color w:val="000000"/>
                  <w:sz w:val="20"/>
                  <w:u w:val="none"/>
                  <w:effect w:val="none"/>
                </w:rPr>
                <w:t>128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79">
              <w:r>
                <w:rPr>
                  <w:rStyle w:val="InternetLink"/>
                  <w:rFonts w:ascii="Arial;sans-serif" w:hAnsi="Arial;sans-serif"/>
                  <w:b w:val="false"/>
                  <w:color w:val="0000EE"/>
                  <w:sz w:val="20"/>
                  <w:u w:val="single"/>
                </w:rPr>
                <w:t>Item 7A.</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79">
              <w:r>
                <w:rPr>
                  <w:rStyle w:val="InternetLink"/>
                  <w:rFonts w:ascii="Arial;sans-serif" w:hAnsi="Arial;sans-serif"/>
                  <w:b w:val="false"/>
                  <w:color w:val="0000EE"/>
                  <w:sz w:val="20"/>
                  <w:u w:val="singl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79">
              <w:r>
                <w:rPr>
                  <w:rStyle w:val="InternetLink"/>
                  <w:rFonts w:ascii="Arial;sans-serif" w:hAnsi="Arial;sans-serif"/>
                  <w:b w:val="false"/>
                  <w:strike w:val="false"/>
                  <w:dstrike w:val="false"/>
                  <w:color w:val="000000"/>
                  <w:sz w:val="20"/>
                  <w:u w:val="none"/>
                  <w:effect w:val="none"/>
                </w:rPr>
                <w:t>150</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82">
              <w:r>
                <w:rPr>
                  <w:rStyle w:val="InternetLink"/>
                  <w:rFonts w:ascii="Arial;sans-serif" w:hAnsi="Arial;sans-serif"/>
                  <w:b w:val="false"/>
                  <w:color w:val="0000EE"/>
                  <w:sz w:val="20"/>
                  <w:u w:val="single"/>
                </w:rPr>
                <w:t>Item 8.</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82">
              <w:r>
                <w:rPr>
                  <w:rStyle w:val="InternetLink"/>
                  <w:rFonts w:ascii="Arial;sans-serif" w:hAnsi="Arial;sans-serif"/>
                  <w:b w:val="false"/>
                  <w:color w:val="0000EE"/>
                  <w:sz w:val="20"/>
                  <w:u w:val="single"/>
                </w:rPr>
                <w:t>Financial Statements and Supplementary Data</w:t>
              </w:r>
            </w:hyperlink>
          </w:p>
        </w:tc>
        <w:tc>
          <w:tcPr>
            <w:tcW w:w="54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82">
              <w:r>
                <w:rPr>
                  <w:rStyle w:val="InternetLink"/>
                  <w:rFonts w:ascii="Arial;sans-serif" w:hAnsi="Arial;sans-serif"/>
                  <w:b w:val="false"/>
                  <w:strike w:val="false"/>
                  <w:dstrike w:val="false"/>
                  <w:color w:val="000000"/>
                  <w:sz w:val="20"/>
                  <w:u w:val="none"/>
                  <w:effect w:val="none"/>
                </w:rPr>
                <w:t>151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57">
              <w:r>
                <w:rPr>
                  <w:rStyle w:val="InternetLink"/>
                  <w:rFonts w:ascii="Arial;sans-serif" w:hAnsi="Arial;sans-serif"/>
                  <w:b w:val="false"/>
                  <w:color w:val="0000EE"/>
                  <w:sz w:val="20"/>
                  <w:u w:val="single"/>
                </w:rPr>
                <w:t>Item 9.</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57">
              <w:r>
                <w:rPr>
                  <w:rStyle w:val="InternetLink"/>
                  <w:rFonts w:ascii="Arial;sans-serif" w:hAnsi="Arial;sans-serif"/>
                  <w:b w:val="false"/>
                  <w:color w:val="0000EE"/>
                  <w:sz w:val="20"/>
                  <w:u w:val="single"/>
                </w:rPr>
                <w:t>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57">
              <w:r>
                <w:rPr>
                  <w:rStyle w:val="InternetLink"/>
                  <w:rFonts w:ascii="Arial;sans-serif" w:hAnsi="Arial;sans-serif"/>
                  <w:b w:val="false"/>
                  <w:strike w:val="false"/>
                  <w:dstrike w:val="false"/>
                  <w:color w:val="000000"/>
                  <w:sz w:val="20"/>
                  <w:u w:val="none"/>
                  <w:effect w:val="none"/>
                </w:rPr>
                <w:t>197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0">
              <w:r>
                <w:rPr>
                  <w:rStyle w:val="InternetLink"/>
                  <w:rFonts w:ascii="Arial;sans-serif" w:hAnsi="Arial;sans-serif"/>
                  <w:b w:val="false"/>
                  <w:color w:val="0000EE"/>
                  <w:sz w:val="20"/>
                  <w:u w:val="single"/>
                </w:rPr>
                <w:t>Item 9A.</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0">
              <w:r>
                <w:rPr>
                  <w:rStyle w:val="InternetLink"/>
                  <w:rFonts w:ascii="Arial;sans-serif" w:hAnsi="Arial;sans-serif"/>
                  <w:b w:val="false"/>
                  <w:color w:val="0000EE"/>
                  <w:sz w:val="20"/>
                  <w:u w:val="singl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60">
              <w:r>
                <w:rPr>
                  <w:rStyle w:val="InternetLink"/>
                  <w:rFonts w:ascii="Arial;sans-serif" w:hAnsi="Arial;sans-serif"/>
                  <w:b w:val="false"/>
                  <w:strike w:val="false"/>
                  <w:dstrike w:val="false"/>
                  <w:color w:val="000000"/>
                  <w:sz w:val="20"/>
                  <w:u w:val="none"/>
                  <w:effect w:val="none"/>
                </w:rPr>
                <w:t>197</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3">
              <w:r>
                <w:rPr>
                  <w:rStyle w:val="InternetLink"/>
                  <w:rFonts w:ascii="Arial;sans-serif" w:hAnsi="Arial;sans-serif"/>
                  <w:b w:val="false"/>
                  <w:color w:val="0000EE"/>
                  <w:sz w:val="20"/>
                  <w:u w:val="single"/>
                </w:rPr>
                <w:t>Item 9B.</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3">
              <w:r>
                <w:rPr>
                  <w:rStyle w:val="InternetLink"/>
                  <w:rFonts w:ascii="Arial;sans-serif" w:hAnsi="Arial;sans-serif"/>
                  <w:b w:val="false"/>
                  <w:color w:val="0000EE"/>
                  <w:sz w:val="20"/>
                  <w:u w:val="single"/>
                </w:rPr>
                <w:t>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63">
              <w:r>
                <w:rPr>
                  <w:rStyle w:val="InternetLink"/>
                  <w:rFonts w:ascii="Arial;sans-serif" w:hAnsi="Arial;sans-serif"/>
                  <w:b w:val="false"/>
                  <w:strike w:val="false"/>
                  <w:dstrike w:val="false"/>
                  <w:color w:val="000000"/>
                  <w:sz w:val="20"/>
                  <w:u w:val="none"/>
                  <w:effect w:val="none"/>
                </w:rPr>
                <w:t>197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6">
              <w:r>
                <w:rPr>
                  <w:rStyle w:val="InternetLink"/>
                  <w:rFonts w:ascii="Arial;sans-serif" w:hAnsi="Arial;sans-serif"/>
                  <w:b w:val="false"/>
                  <w:color w:val="0000EE"/>
                  <w:sz w:val="20"/>
                  <w:u w:val="single"/>
                </w:rPr>
                <w:t>Item 9C.</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6">
              <w:r>
                <w:rPr>
                  <w:rStyle w:val="InternetLink"/>
                  <w:rFonts w:ascii="Arial;sans-serif" w:hAnsi="Arial;sans-serif"/>
                  <w:b w:val="false"/>
                  <w:color w:val="0000EE"/>
                  <w:sz w:val="20"/>
                  <w:u w:val="single"/>
                </w:rPr>
                <w:t>Disclosure Regarding Foreign Jurisdictions that Prevent Inspections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66">
              <w:r>
                <w:rPr>
                  <w:rStyle w:val="InternetLink"/>
                  <w:rFonts w:ascii="Arial;sans-serif" w:hAnsi="Arial;sans-serif"/>
                  <w:b w:val="false"/>
                  <w:strike w:val="false"/>
                  <w:dstrike w:val="false"/>
                  <w:color w:val="000000"/>
                  <w:sz w:val="20"/>
                  <w:u w:val="none"/>
                  <w:effect w:val="none"/>
                </w:rPr>
                <w:t>200</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69">
              <w:r>
                <w:rPr>
                  <w:rStyle w:val="InternetLink"/>
                  <w:rFonts w:ascii="Arial;sans-serif" w:hAnsi="Arial;sans-serif"/>
                  <w:b/>
                  <w:color w:val="0000EE"/>
                  <w:sz w:val="20"/>
                  <w:u w:val="single"/>
                </w:rPr>
                <w:t>PART III</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69">
              <w:r>
                <w:rPr>
                  <w:rStyle w:val="InternetLink"/>
                  <w:rFonts w:ascii="Arial;sans-serif" w:hAnsi="Arial;sans-serif"/>
                  <w:b w:val="false"/>
                  <w:strike w:val="false"/>
                  <w:dstrike w:val="false"/>
                  <w:color w:val="000000"/>
                  <w:sz w:val="20"/>
                  <w:u w:val="none"/>
                  <w:effect w:val="none"/>
                </w:rPr>
                <w:t>201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2">
              <w:r>
                <w:rPr>
                  <w:rStyle w:val="InternetLink"/>
                  <w:rFonts w:ascii="Arial;sans-serif" w:hAnsi="Arial;sans-serif"/>
                  <w:b w:val="false"/>
                  <w:color w:val="0000EE"/>
                  <w:sz w:val="20"/>
                  <w:u w:val="single"/>
                </w:rPr>
                <w:t>Item 10.</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2">
              <w:r>
                <w:rPr>
                  <w:rStyle w:val="InternetLink"/>
                  <w:rFonts w:ascii="Arial;sans-serif" w:hAnsi="Arial;sans-serif"/>
                  <w:b w:val="false"/>
                  <w:color w:val="0000EE"/>
                  <w:sz w:val="20"/>
                  <w:u w:val="single"/>
                </w:rPr>
                <w:t>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72">
              <w:r>
                <w:rPr>
                  <w:rStyle w:val="InternetLink"/>
                  <w:rFonts w:ascii="Arial;sans-serif" w:hAnsi="Arial;sans-serif"/>
                  <w:b w:val="false"/>
                  <w:strike w:val="false"/>
                  <w:dstrike w:val="false"/>
                  <w:color w:val="000000"/>
                  <w:sz w:val="20"/>
                  <w:u w:val="none"/>
                  <w:effect w:val="none"/>
                </w:rPr>
                <w:t>201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5">
              <w:r>
                <w:rPr>
                  <w:rStyle w:val="InternetLink"/>
                  <w:rFonts w:ascii="Arial;sans-serif" w:hAnsi="Arial;sans-serif"/>
                  <w:b w:val="false"/>
                  <w:color w:val="0000EE"/>
                  <w:sz w:val="20"/>
                  <w:u w:val="single"/>
                </w:rPr>
                <w:t>Item 11.</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5">
              <w:r>
                <w:rPr>
                  <w:rStyle w:val="InternetLink"/>
                  <w:rFonts w:ascii="Arial;sans-serif" w:hAnsi="Arial;sans-serif"/>
                  <w:b w:val="false"/>
                  <w:color w:val="0000EE"/>
                  <w:sz w:val="20"/>
                  <w:u w:val="single"/>
                </w:rPr>
                <w:t>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75">
              <w:r>
                <w:rPr>
                  <w:rStyle w:val="InternetLink"/>
                  <w:rFonts w:ascii="Arial;sans-serif" w:hAnsi="Arial;sans-serif"/>
                  <w:b w:val="false"/>
                  <w:strike w:val="false"/>
                  <w:dstrike w:val="false"/>
                  <w:color w:val="000000"/>
                  <w:sz w:val="20"/>
                  <w:u w:val="none"/>
                  <w:effect w:val="none"/>
                </w:rPr>
                <w:t>203</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8">
              <w:r>
                <w:rPr>
                  <w:rStyle w:val="InternetLink"/>
                  <w:rFonts w:ascii="Arial;sans-serif" w:hAnsi="Arial;sans-serif"/>
                  <w:b w:val="false"/>
                  <w:color w:val="0000EE"/>
                  <w:sz w:val="20"/>
                  <w:u w:val="single"/>
                </w:rPr>
                <w:t>Item 12.</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78">
              <w:r>
                <w:rPr>
                  <w:rStyle w:val="InternetLink"/>
                  <w:rFonts w:ascii="Arial;sans-serif" w:hAnsi="Arial;sans-serif"/>
                  <w:b w:val="false"/>
                  <w:color w:val="0000EE"/>
                  <w:sz w:val="20"/>
                  <w:u w:val="single"/>
                </w:rPr>
                <w:t>Security Ownership of Certain Beneficial Owners and Management and Related Stockholder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78">
              <w:r>
                <w:rPr>
                  <w:rStyle w:val="InternetLink"/>
                  <w:rFonts w:ascii="Arial;sans-serif" w:hAnsi="Arial;sans-serif"/>
                  <w:b w:val="false"/>
                  <w:strike w:val="false"/>
                  <w:dstrike w:val="false"/>
                  <w:color w:val="000000"/>
                  <w:sz w:val="20"/>
                  <w:u w:val="none"/>
                  <w:effect w:val="none"/>
                </w:rPr>
                <w:t>203</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81">
              <w:r>
                <w:rPr>
                  <w:rStyle w:val="InternetLink"/>
                  <w:rFonts w:ascii="Arial;sans-serif" w:hAnsi="Arial;sans-serif"/>
                  <w:b w:val="false"/>
                  <w:color w:val="0000EE"/>
                  <w:sz w:val="20"/>
                  <w:u w:val="single"/>
                </w:rPr>
                <w:t>Item 13.</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81">
              <w:r>
                <w:rPr>
                  <w:rStyle w:val="InternetLink"/>
                  <w:rFonts w:ascii="Arial;sans-serif" w:hAnsi="Arial;sans-serif"/>
                  <w:b w:val="false"/>
                  <w:color w:val="0000EE"/>
                  <w:sz w:val="20"/>
                  <w:u w:val="single"/>
                </w:rPr>
                <w:t>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81">
              <w:r>
                <w:rPr>
                  <w:rStyle w:val="InternetLink"/>
                  <w:rFonts w:ascii="Arial;sans-serif" w:hAnsi="Arial;sans-serif"/>
                  <w:b w:val="false"/>
                  <w:strike w:val="false"/>
                  <w:dstrike w:val="false"/>
                  <w:color w:val="000000"/>
                  <w:sz w:val="20"/>
                  <w:u w:val="none"/>
                  <w:effect w:val="none"/>
                </w:rPr>
                <w:t>203</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84">
              <w:r>
                <w:rPr>
                  <w:rStyle w:val="InternetLink"/>
                  <w:rFonts w:ascii="Arial;sans-serif" w:hAnsi="Arial;sans-serif"/>
                  <w:b w:val="false"/>
                  <w:color w:val="0000EE"/>
                  <w:sz w:val="20"/>
                  <w:u w:val="single"/>
                </w:rPr>
                <w:t>Item 14.</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84">
              <w:r>
                <w:rPr>
                  <w:rStyle w:val="InternetLink"/>
                  <w:rFonts w:ascii="Arial;sans-serif" w:hAnsi="Arial;sans-serif"/>
                  <w:b w:val="false"/>
                  <w:color w:val="0000EE"/>
                  <w:sz w:val="20"/>
                  <w:u w:val="single"/>
                </w:rPr>
                <w:t>Principal Accounting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84">
              <w:r>
                <w:rPr>
                  <w:rStyle w:val="InternetLink"/>
                  <w:rFonts w:ascii="Arial;sans-serif" w:hAnsi="Arial;sans-serif"/>
                  <w:b w:val="false"/>
                  <w:strike w:val="false"/>
                  <w:dstrike w:val="false"/>
                  <w:color w:val="000000"/>
                  <w:sz w:val="20"/>
                  <w:u w:val="none"/>
                  <w:effect w:val="none"/>
                </w:rPr>
                <w:t>203</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87">
              <w:r>
                <w:rPr>
                  <w:rStyle w:val="InternetLink"/>
                  <w:rFonts w:ascii="Arial;sans-serif" w:hAnsi="Arial;sans-serif"/>
                  <w:b/>
                  <w:color w:val="0000EE"/>
                  <w:sz w:val="20"/>
                  <w:u w:val="single"/>
                </w:rPr>
                <w:t>PART IV</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87">
              <w:r>
                <w:rPr>
                  <w:rStyle w:val="InternetLink"/>
                  <w:rFonts w:ascii="Arial;sans-serif" w:hAnsi="Arial;sans-serif"/>
                  <w:b w:val="false"/>
                  <w:strike w:val="false"/>
                  <w:dstrike w:val="false"/>
                  <w:color w:val="000000"/>
                  <w:sz w:val="20"/>
                  <w:u w:val="none"/>
                  <w:effect w:val="none"/>
                </w:rPr>
                <w:t>204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0">
              <w:r>
                <w:rPr>
                  <w:rStyle w:val="InternetLink"/>
                  <w:rFonts w:ascii="Arial;sans-serif" w:hAnsi="Arial;sans-serif"/>
                  <w:b w:val="false"/>
                  <w:color w:val="0000EE"/>
                  <w:sz w:val="20"/>
                  <w:u w:val="single"/>
                </w:rPr>
                <w:t>Item 15.</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0">
              <w:r>
                <w:rPr>
                  <w:rStyle w:val="InternetLink"/>
                  <w:rFonts w:ascii="Arial;sans-serif" w:hAnsi="Arial;sans-serif"/>
                  <w:b w:val="false"/>
                  <w:color w:val="0000EE"/>
                  <w:sz w:val="20"/>
                  <w:u w:val="single"/>
                </w:rPr>
                <w:t>Exhibits,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90">
              <w:r>
                <w:rPr>
                  <w:rStyle w:val="InternetLink"/>
                  <w:rFonts w:ascii="Arial;sans-serif" w:hAnsi="Arial;sans-serif"/>
                  <w:b w:val="false"/>
                  <w:strike w:val="false"/>
                  <w:dstrike w:val="false"/>
                  <w:color w:val="000000"/>
                  <w:sz w:val="20"/>
                  <w:u w:val="none"/>
                  <w:effect w:val="none"/>
                </w:rPr>
                <w:t>204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3">
              <w:r>
                <w:rPr>
                  <w:rStyle w:val="InternetLink"/>
                  <w:rFonts w:ascii="Arial;sans-serif" w:hAnsi="Arial;sans-serif"/>
                  <w:b w:val="false"/>
                  <w:color w:val="0000EE"/>
                  <w:sz w:val="20"/>
                  <w:u w:val="single"/>
                </w:rPr>
                <w:t>Item 16.</w:t>
              </w:r>
            </w:hyperlink>
          </w:p>
        </w:tc>
        <w:tc>
          <w:tcPr>
            <w:tcW w:w="8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3">
              <w:r>
                <w:rPr>
                  <w:rStyle w:val="InternetLink"/>
                  <w:rFonts w:ascii="Arial;sans-serif" w:hAnsi="Arial;sans-serif"/>
                  <w:b w:val="false"/>
                  <w:color w:val="0000EE"/>
                  <w:sz w:val="20"/>
                  <w:u w:val="single"/>
                </w:rPr>
                <w:t>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93">
              <w:r>
                <w:rPr>
                  <w:rStyle w:val="InternetLink"/>
                  <w:rFonts w:ascii="Arial;sans-serif" w:hAnsi="Arial;sans-serif"/>
                  <w:b w:val="false"/>
                  <w:strike w:val="false"/>
                  <w:dstrike w:val="false"/>
                  <w:color w:val="000000"/>
                  <w:sz w:val="20"/>
                  <w:u w:val="none"/>
                  <w:effect w:val="none"/>
                </w:rPr>
                <w:t>207</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35f2f8173af4762a088d6adec8de6cd_196">
              <w:r>
                <w:rPr>
                  <w:rStyle w:val="InternetLink"/>
                  <w:rFonts w:ascii="Arial;sans-serif" w:hAnsi="Arial;sans-serif"/>
                  <w:b/>
                  <w:color w:val="0000EE"/>
                  <w:sz w:val="20"/>
                  <w:u w:val="single"/>
                </w:rPr>
                <w:t>Signature</w:t>
              </w:r>
            </w:hyperlink>
          </w:p>
        </w:tc>
        <w:tc>
          <w:tcPr>
            <w:tcW w:w="8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35f2f8173af4762a088d6adec8de6cd_196">
              <w:r>
                <w:rPr>
                  <w:rStyle w:val="InternetLink"/>
                  <w:rFonts w:ascii="Arial;sans-serif" w:hAnsi="Arial;sans-serif"/>
                  <w:b w:val="false"/>
                  <w:strike w:val="false"/>
                  <w:dstrike w:val="false"/>
                  <w:color w:val="000000"/>
                  <w:sz w:val="20"/>
                  <w:u w:val="none"/>
                  <w:effect w:val="none"/>
                </w:rPr>
                <w:t>208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This Annual Report on Form 10-K (this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landscape, compliance and strategy, potential market opportunity, increased competition, anticipated growth strategies, sufficiency of cash on hand to finance our business, seasonality, cost savings, facilities plans and lease commencement, budgets and strategies, restructuring and stock-based compensation costs, legal proceedings, impact of the restructuring on our operations, expected closing and benefits from the Samsung Investment (defined below), including the related collaboration agreements, and anticipated trends in our business.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You should specifically consider the numerous factors and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Form 10-K to conform our prior statements to actual results or revised expectations or to reflect new information or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Summary of Material Risks Associated with Our Business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The principal risks and uncertainties affecting our business include the following:</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operate in a rapidly evolving field and have a limited operating history, which make it difficult to evaluate our current business and predict our future performance.</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 xml:space="preserve">We have incurred significant net losses in each period since our inception and anticipate that we will continue to incur net losses for the coming years. </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products or future products may not perform as expected, and the results of our clinical studies may not be replicated in the post-market or real-world setting.</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The clinical study process is lengthy and expensive with uncertain outcomes. We have encountered delays and may encounter future delays in, or unexpected, uncertain or negative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A substantial majority of our revenue is generated from sales of Galleri and we are highly dependent on it for our success.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our products do not receive adequate coverage and reimbursement, if at all, from third-party payors, our ability to expand access to our products and our overall commercial success beyond our existing sales channels will be limited.</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commercial products may fail to achieve the degree of market acceptance necessary for commercial success.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have launched Galleri as a laboratory developed test in the United States. In 2024, the FDA finalized a regulation that has been successfully challenged in federal court, pursuant to which the FDA planned to subject laboratory developed tests to medical device requirements through a phase-out of its historical policy of enforcement discretion over laboratory developed tests over a period of four years. A federal court recently vacated this rule.</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 xml:space="preserve">The regulatory clearance, approval, or certification processes of the FDA and comparable foreign regulatory authorities or notified bodies are lengthy, time-consuming, and unpredictable. </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multi-cancer detection tests are a new approach to cancer screening, which present a number of novel and complex issues for FDA review. Because the FDA has never cleared or approved a multi-cancer detection test, we cannot provide assurances regarding information we will need to submit to obtain approval of a premarket application from the FDA for a proposed intended use, or if we will be able to obtain such approval on a timely basis or at all.</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may not be able to generate sufficient revenue to offset our ongoing operating expenses and achieve and maintain profitability, and it may be difficult for us to offset the costs of our royalties, including the high single-digit royalty that we will be required to pay to Illumina in perpetuity or our royalties payable to the Chinese University of Hong Kong.</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may be unable to develop and commercialize new products, including enhanced versions of current products.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similar third-party products are developed and do not perform as intended or cause harm or injury to patients, the market for our products could be impaired.</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we fail to obtain additional financing, we may be unable to expand our commercialization efforts or to develop and commercialize additional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our products result in direct or indirect participant or patient harm or injury, we could be subject to significant reputational and liability risks.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rely on Illumina, Inc. as a sole supplier for our next-generation sequencers and associated reagents, Madison Industries as a sole supplier of blood collection tubes, and Twist Bioscience Corporation as a sole supplier of DNA panels. Additionally, we rely on a limited number of suppliers for some of our laboratory instruments and reagents, and we may not be able to immediately find replacements if necessary.</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our facilities become inoperable, our ability to provide our products will be significantly impaired, and our business will be harmed.</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operations and business are materially dependent on various third parties, including information technology, sample collection, processing, transfer facilities, and other patient-facing service providers, any of which could experience disruption, failure, or interruption.</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we are unable to scale our operations successfully to support demand for our products, our business could suffer.</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we are not successful in attracting, motivating, and retaining highly qualified personnel, we may not be able to successfully implement our business strategy.</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information technology systems, or those used by our third-party collaborators, other contractors, or consultants, may fail or suffer cybersecurity incidents or cyberattacks.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quarterly results of operations may fluctuate significantly or may fall below the expectations of investors or securities analysts, each of which may cause our stock price to fluctuate or decline.</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could have an indemnification obligation to Illumina if the Distribution were determined not to qualify for non-recognition treatment for U.S. federal tax purposes.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We have agreed to numerous restrictions to preserve the non-recognition treatment of the Spin-Off, which may reduce our strategic and operating flexibility.</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summary risk factors described above should be read together with the text of the full risk factors below in Item 1A. “Risk Factors” and the other information set forth in this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20" w:after="283"/>
        <w:jc w:val="left"/>
        <w:rPr>
          <w:rFonts w:ascii="Arial;sans-serif" w:hAnsi="Arial;sans-serif"/>
          <w:b/>
          <w:color w:val="231F20"/>
          <w:sz w:val="20"/>
        </w:rPr>
      </w:pPr>
      <w:r>
        <w:rPr>
          <w:rFonts w:ascii="Arial;sans-serif" w:hAnsi="Arial;sans-serif"/>
          <w:b/>
          <w:color w:val="231F20"/>
          <w:sz w:val="20"/>
        </w:rPr>
        <w:t>Our Company</w:t>
      </w:r>
    </w:p>
    <w:p>
      <w:pPr>
        <w:pStyle w:val="TextBody"/>
        <w:bidi w:val="0"/>
        <w:spacing w:lineRule="auto" w:line="288" w:before="120" w:after="283"/>
        <w:jc w:val="left"/>
        <w:rPr>
          <w:rFonts w:ascii="Arial;sans-serif" w:hAnsi="Arial;sans-serif"/>
          <w:b/>
          <w:i/>
          <w:color w:val="231F20"/>
          <w:sz w:val="20"/>
        </w:rPr>
      </w:pPr>
      <w:r>
        <w:rPr>
          <w:rFonts w:ascii="Arial;sans-serif" w:hAnsi="Arial;sans-serif"/>
          <w:b/>
          <w:i/>
          <w:color w:val="231F20"/>
          <w:sz w:val="20"/>
        </w:rPr>
        <w:t>Our mission is to detect cancer early, when it can be cured.</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We are an innovative commercial-stage healthcare company focused on shifting the paradigm in early cancer detection at population scale. We believe screening individuals for many types of cancer with a single test represents a significant opportunity to reduce the global burden of cancer. Our multi-cancer early detection test (“Galleri”) can screen for many types of cancer, accurately predicting the specific organ or tissue type where the cancer signal originated (the “Cancer Signal of Origin”, or “CSO”), with high positive predictive values (“PPV”) and low false positive rates, all from a simple blood draw. Galleri has detected some of the most aggressive cancers in early stages including, among others, endometrial, esophageal, gastrointestinal, head and neck, liver, pancreatic, and rectal cancers. We have conducted what we believe is the largest clinical program in genomic medicine to date with data from over 385,000 participants that we believe demonstrate the clinical validation and clinical utility of Galleri in its intended use population. We have deep operational experience with over 800,000 tests processed across this clinical program and from our commercial experience, including through partnerships with leading healthcare systems, employers, digital health platforms, payors, and life insurance providers.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Recently we announced results from two of our large clinical trials, PATHFINDER 2 and NHS-Galleri Trial, and included certain results from those studies in our pre-market approval application (“PMA”) to the Food and Drug Administration (“FDA”), the last module of which we submitted in January 2026. Performance and safety data focused on the first approximately 25,000 participants of our approximately 35,000 participant PATHFINDER 2 study were presented at the European Society for Medical Oncology (“ESMO”) in October 2025 (the “PATHFINDER 2 Initial Results”) and demonstrated that adding Galleri to recommended (breast, cervical, colorectal and lung) screenings led to a cancer detection rate more than seven-fold increase in the number of cancers found within a year, and an approximately three-fold increase when prostate screening was included. Results from the full approximately 35,000 participants in the PATHFINDER 2 study were generally consistent with the results presented at ESMO. We also announced topline results from our three year, randomized control NHS-Galleri Trial which demonstrated a substantial reduction in stage 4 cancer diagnoses (including greater than 20% reduction in the second and third screening rounds), increased stage 1 and 2 detection of deadly cancers, and four-fold higher cancer detection rate when compared to recommended screenings alone. The primary endpoint of statistically significant combined stage 3 and 4 reduction was not observed. However, there was a favorable trend toward fewer combined stage 3 and 4 cancers in a pre-specified group of 12 deadly cancers in the intervention arm after the prevalent screening round. The PATHFINDER 2 Initial Results and the performance and safety metrics from the first year (prevalent screening round) of our NHS-Galleri Trial (“NHS-Galleri Prevalent Screening Round Results”) were included in our PMA submission, along with results of a bridging study. </w:t>
      </w:r>
    </w:p>
    <w:p>
      <w:pPr>
        <w:pStyle w:val="TextBody"/>
        <w:bidi w:val="0"/>
        <w:spacing w:lineRule="auto" w:line="288" w:before="240" w:after="283"/>
        <w:ind w:left="0" w:right="0" w:firstLine="450"/>
        <w:jc w:val="left"/>
        <w:rPr/>
      </w:pPr>
      <w:r>
        <w:rPr>
          <w:rFonts w:ascii="Arial;sans-serif" w:hAnsi="Arial;sans-serif"/>
          <w:b w:val="false"/>
          <w:color w:val="000000"/>
          <w:sz w:val="20"/>
        </w:rPr>
        <w:t>Cancer is a major public health crisis. It is a leading cause of death both in the United States and worldwide. Most cancers that result in death are diagnosed too late, in advanced stages when they are most challenging to treat.</w:t>
      </w:r>
      <w:r>
        <w:rPr>
          <w:color w:val="000000"/>
          <w:shd w:fill="FFFFFF" w:val="clear"/>
        </w:rPr>
        <w:t xml:space="preserve"> </w:t>
      </w:r>
      <w:r>
        <w:rPr>
          <w:rFonts w:ascii="Arial;sans-serif" w:hAnsi="Arial;sans-serif"/>
          <w:b w:val="false"/>
          <w:color w:val="000000"/>
          <w:sz w:val="20"/>
          <w:shd w:fill="FFFFFF" w:val="clear"/>
        </w:rPr>
        <w:t>We estimate that more than 70% of cancer deaths result from cancers that have no recommended screening guidelines. In</w:t>
      </w:r>
      <w:r>
        <w:rPr>
          <w:color w:val="000000"/>
        </w:rPr>
        <w:t xml:space="preserve"> </w:t>
      </w:r>
      <w:r>
        <w:rPr>
          <w:rFonts w:ascii="Arial;sans-serif" w:hAnsi="Arial;sans-serif"/>
          <w:b w:val="false"/>
          <w:color w:val="000000"/>
          <w:sz w:val="20"/>
        </w:rPr>
        <w:t xml:space="preserve">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We believe that expanding upon these current guidelines to screen individuals for many types of cancer with a single test represents a significant opportunity to reduce cancer mortality and the cost of cancer care. In 2021, we published modeling data in Cancer Epidemiology, Biomarkers &amp; Prevention (Cancer Epidemiol Biomarkers Prev. 2021; 30:460–8) that estimated the potential impact of Multi-Cancer Early Detection (“MCED”) testing on mortality reduction based on test performance in our foundational case-control Circulating Cell-free Genome Atlas (“CCGA”) study and using 2006 to 2015 data from the Surveillance, Epidemiology, and End Results Program of the U.S. National Cancer Institute (“SEER”) for ages 50-79. Based on this model, we estimated that by adding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3845"/>
                <wp:effectExtent l="0" t="0" r="0" b="0"/>
                <wp:wrapNone/>
                <wp:docPr id="6" name="Frame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Data (Data. 2017; 2(30):2–16) estimated that diagnosing cancer early could result in $26 billion in annual cost-savings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designed Galleri to detect cancer early, when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CSO). In the PATHFINDER 2 Initial Results, Galleri correctly predicted the CSO in 122 of 133 participants with a cancer diagnosis following a cancer signal detected (positive) test result (i.e., participants with true positive test results), demonstrating a high CSO prediction accuracy. Galleri’s screening test results can be used by healthcare providers to guide required follow-up diagnostic testing for a diagnosis of cancer.</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As an early pioneer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ESMO, and American Academy of Family Physicians (“AAFP”). We have also published results from our studies in leading scientific and medical journals, including The Lancet, Nature, Nature Medicine, Cancer Cell, and The Lancet Oncology. Our industry leadership has been recognized with multiple national high profile accolades.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January 2026, we submitted a PMA to the FDA to help support broad access for Galleri in the United States. Galleri is not a diagnostic test and has not been approved or cleared by the FDA. Our PMA submission package includes the NHS-Galleri Prevalent Round Results, together with data from the PATHFINDER 2 Initial Results. Our PMA submission package also includes a bridging analysis to compare performance of the version of Galleri used in the NHS-Galleri Trial and PATHFINDER 2 study to the updated version for which we are seeking approval (the “Bridging Analysis”). We believe that FDA approval could unlock broad coverage by large commercial payors in the United States. We have established private reimbursement for Galleri from a number of third-party payors in the United States, including self-insured employers, but do not currently have broader coverage and reimbursement by government healthcare programs, such as Medicare. In February 2026 a new law created a Medicare coverage benefit category for MCED tests. The law included certain standards, including that Centers for Medicare and Medicaid Services (“CMS”) would establish coverage through a national coverage determination (“NCD”) process under “reasonable and necessary” evidentiary requirements. An NCD typically involves a multi-step review that can include evidence assessment by CMS staff, consultation with external technology assessment organizations, a Medicare Evidence Development &amp; Coverage Advisory Committee (MEDCAC) meeting, and opportunities for public comment. CMS may issue an NCD to provide coverage for MCED tests that are cleared under 510(k), classified under 513(f)(2) or approved by the FDA, with authority to initiate coverage as early as January 1, 2029, although any NCD may be delayed or be more restrictive than the full authority provided by statute. Coverage eligibility is phased in, with those aged 50-65 eligible under the law in 2029, expanding by one age-year annually. No version of Galleri has been approved or cleared by the FDA and obtaining PMA approval can take several years from the time an application is submitted. Galleri may not be approved on our expected timeline or at all. If FDA approval is obtained, we also expect to pursue inclusion of Galleri in the USPSTF’s guideline recommendation, although such inclusion is not certain even with FDA approval and may take several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3845"/>
                <wp:effectExtent l="0" t="0" r="0" b="0"/>
                <wp:wrapNone/>
                <wp:docPr id="7" name="Frame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Kingdom, NHS England (which is being merged with the Department of Health and Social Care) (the “NHS”) will evaluate the final results from the NHS-Galleri Trial before determining whether to implement the Galleri test in the NHS. We plan to share final results from the full three year NHS-Galleri trial in mid-2026. We believe the decision may include, in addition to an evaluation of the final results, considerations such as NHS budget, political priorities, cost-effectiveness and implementation constraints. Under our agreement with the NHS, these results have met certain success criteria and missed others. As a result, we and NHS England will convene meetings of our joint steering committee to discuss how best to proceed with deployment to the UK population, if at all, considering deployment approaches and which population groups would most benefit. We also believe our work with the NHS and the data generated from our NHS-Galleri Trial could help facilitate adoption in other single-payor systems around the world and support evidence of clinical utility worldwide. We believe the evidence of clinical utility from the trial, particularly the stage 4 reduction, increased stage 1 and 2 detection and a favorable trend over time in each screening round on combined stage 3 and 4 reduction, could be compelling to these systems even though the primary endpoint was not met. We believe the evidence package is even stronger when taken together with the positive results from our PATHFINDER 2 study.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including over 180,000 patients enrolled in our PATHFINDER and PATHFINDER 2 clinical studies and our NHS-Galleri Trial, the only interventional trials conducted in an intended use population to validate an MCED test. We are also enrolling up to 50,000 Medicare beneficiaries in our Real-world Evidence to Advance multi-Cancer early detection Health equity (“REACH” or “Galleri-Medicare”) interventional study designed to evaluate the clinical impact of Galleri in a population of Medicare beneficiaries, including racial and ethnic minorities, and seniors from historically underserved communities. These studies also include our foundational case-control CCGA study and interventional PATHFINDER study, which were used to develop and validate our MCED technology and launch Galleri as a commercial laboratory developed test (“LDT”) product. Through these studies and our ongoing collection of real-world data, we have built what we believe is an unprecedented longitudinal dataset of high quality, linked clinical and genomic data.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that a number of findings in the NHS-Galleri Trial, together with the positive PATHFINDER 2 results, provide strong evidence of the clinical utility of Galleri in a population. The NHS-Galleri Trial is a rigorous, randomized control trial of over 140,000 participants that we designed in dialogue with the NHS. The main goal of the trial was to establish whether Galleri could provide a meaningful contribution towards achieving the NHS’s ambitious goal to achieve a significant shift in late stage cancer diagnosis by 2028. The endpoint of a reduction in stage 3-4 cancers combined was chosen as the primary endpoint because, at the time, it was most closely aligned with the NHS Long Term Plan, which was the basis for designing a broader implementation pilot within the NHS. We believe that the trial’s most important secondary endpoint, stage 4 reduction, also works toward this goal. Although the primary endpoint of statistically significant combined stage 3 and 4 reduction was not observed in the NHS-Galleri Trial, we believe the results of the trial provide evidence that Galleri can contribute to this goal. This goal is supported by the favorable trend shown toward fewer stage 3 and 4 cancers in the intervention arm after the prevalent screening round in the pre-specified group of 12 deadly cancers. Importantly, we also saw substantial and clinically meaningful reduction in stage 4 cancer, with more than 20% reductions in the second and third screening round. Had the stage 4 reduction endpoint been the primary endpoint, it would have been met. The trial also showed a substantial reduction in the number of cancers detected clinically through emergency presentation, which are associated with significantly higher mortality and healthcare costs, and a substantial increase in stage 1 and 2 cancers detected. In the trial, four times as many cancers were detected through Galleri combined with recommended screening compared to recommended screening alone, which adds proof to a similar seven fold increase shown in PATHFINDER 2. Taken together, we believe these strong results can provide a compelling evidence package to payers and other stakeholders, despite the trial not reaching the primary endpoint.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83845"/>
                <wp:effectExtent l="0" t="0" r="0" b="0"/>
                <wp:wrapNone/>
                <wp:docPr id="8" name="Frame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clinical utility of Galleri is enabled by the strong underlying performance of the test. We believe our clinical studies, including our early discovery work, have demonstrated robust and reproducible test performance. Notably, the PATHFINDER 2 Initial Results presented at ESMO in October 2025 showed a PPV of 61.6%, substantially higher than our case-control CCGA study, and CSO accuracy of 92% and false positive rate of 0.4%, each consistent with the CCGA study. In 2025, we also announced topline NHS-Galleri Prevalent Round Results, which also showed a substantially higher PPV than our CCGA study. We believe the replication or improvement of the results from our case-control CCGA study in interventional studies in an intended use population is evidence supporting the generalizability and robustness of Galleri and the potential usefulness of returned Galleri results in clinical diagnostic and care pathways. Our previously published modeled PPV of 44% was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2 study was performed in an intended use population and PPV was measured directly. Data from our foundational CCGA study was presented in oral and poster presentations at multiple major medical conferences including the AACR, ASCO and ESMO and were published in Annals of Oncology in 2020 and 2021 and Cancer Cell in 2022. Results from our first PATHFINDER study presented at ASCO in 2021, analyzing data from 6,629 individuals aged 50 years or older, showed a PPV consistent with CCGA. Results from the full approximately 35,000 participants in the PATHFINDER 2 study were generally consistent with the results presented at ESMO. Galleri test performance in the NHS-Galleri Trial was consistent with the range previously reported from our North American studies. We expect to continue to report clinical data from our clinical program over many years.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also gained insight from studies of the use of our methylation technology in other populations and in the real world. Our SYMPLIFY study, a prospective multi-center observational study, represents the first large-scale evaluation of an MCED test in symptomatic patients who were referred from the primary care setting due to clinical suspicion of cancer. This patient population represents a distinct patient population from the asymptomatic screening population assessed in the PATHFINDER and PATHFINDER 2 studies and the NHS-Galleri Trial. Initial analysis from the study after nine month follow up showed strong PPV and consistent CSO. But in an analysis based on continued follow up through 24 months through national cancer registries, we found that 35.4% (28 of 79) of patients initially determined to be false positives were diagnosed with cancer. This reduction in false positives by approximately one third resulted in an updated PPV of 84.2%, and 27 of these 28 participants had a correct CSO prediction. Real world evidence, while not directly comparable to our clinical study evidence, is also an important part of our program, with publications and presentations by us and our partners showing Galleri performance in the clinic and building best practices for implementation and follow up that can be used in key health systems.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Based on our extensive, published and peer reviewed discovery work, we believe that a targeted methylation approach, which entails interrogating specific methylation sites within a genome to assess methylation patterns and which is an integral part of the technology used in our Galleri test, is the best approach for detecting a cancer signal and identifying a CSO. In our head-to-head analyses we compared multiple different classifiers that were trained to detect a cancer signal and predict the CSO, and which were independently validated. We found that interrogating methylation patterns yielded significantly better results for cancer detection (based on sensitivity, CSO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CSO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83845"/>
                <wp:effectExtent l="0" t="0" r="0" b="0"/>
                <wp:wrapNone/>
                <wp:docPr id="9" name="Frame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assay had a clinical limit of detection of approximately 150 parts per million, which was significantly lower than other approaches we assessed.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proprietary targeted methylation platform, as well as our growing body of clinical and real-world data, have provided us with unique insights into cancer biology that enable development of products beyond asymptomatic screening. We can leverage our proprietary platform for additional applications, including our precision oncology portfolio. We launched our research use only (“RUO”) 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Applications for our technology in our precision oncology partnerships include pre-treatment prognosis, post-treatment prognosis or minimal residual disease,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collaborative opportunities with biopharma partners, we believe that our methylation platform could enable standalone clinical products and support patient care across the cancer care continuum in the future.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also published data that demonstrates the value of applying our proprietary methylation platform as a diagnostic aid for cancer to accelerate diagnostic resolution for patients with non-specific signs and symptoms, but with a clinical suspicion of cancer. We believe these products and other future products in development have the potential to reach additional customers and may result in additional patient care solutions across the cancer care continuum.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Our Strengths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our continued growth will be driven by the following strengths: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Our clinically-validated, commercially available, MCED screening test, Galleri.</w:t>
      </w:r>
      <w:r>
        <w:rPr>
          <w:color w:val="000000"/>
        </w:rPr>
        <w:t xml:space="preserve"> </w:t>
      </w:r>
      <w:r>
        <w:rPr>
          <w:rFonts w:ascii="Arial;sans-serif" w:hAnsi="Arial;sans-serif"/>
          <w:b w:val="false"/>
          <w:color w:val="000000"/>
          <w:sz w:val="20"/>
        </w:rPr>
        <w:t>Galleri is a commercially available MCED screening test that is setting the standard for multi-cancer early detection. While Galleri has not been approved or cleared by the FDA, we believe Galleri is clinically validated as a screening test based on the results of its clinical studies completed to date. From a simple blood draw, Galleri can detect a cancer signal shared by over 50 types of cancer, over 45 of which do not have recommended screening guidelines. Galleri has shown strong clinical utility in the NHS-Galleri Trial, showing substantial reduction in stage 4 cancer diagnoses, increased stage 1 and 2 detection of deadly cancers, and four-fold higher cancer detection rate when compared to recommended screenings alone. Although the primary endpoint of statistically significant combined stage 3 and 4 reduction was not observed, there was a favorable trend toward fewer combined stage 3 and 4 cancers in a pre-specified group of 12 deadly cancers after the prevalent screening round Galleri achieves these clinical utility results through its strong performance characteristics in MCED screening for asymptomatic individuals, and has demonstrated an ability to accurately predict CSO, with high PPVs and low false positive rates.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83845"/>
                <wp:effectExtent l="0" t="0" r="0" b="0"/>
                <wp:wrapNone/>
                <wp:docPr id="10" name="Frame1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Our established commercial leadership is driving the development of a significant market.</w:t>
      </w:r>
      <w:r>
        <w:rPr>
          <w:color w:val="000000"/>
        </w:rPr>
        <w:t xml:space="preserve"> </w:t>
      </w:r>
      <w:r>
        <w:rPr>
          <w:rFonts w:ascii="Arial;sans-serif" w:hAnsi="Arial;sans-serif"/>
          <w:b w:val="false"/>
          <w:color w:val="000000"/>
          <w:sz w:val="20"/>
        </w:rPr>
        <w:t>The commercial opportunity for Galleri is significant, with more than 300 million individuals globally over the age of 50 (our intended use population), including more than 100 million individuals in the United States. We launched Galleri in the United States in mid-2021. As of December 31, 2025, we have sold more than 475,000 commercial tests, including more than 185,000 tests in 2025, and have established commercial partnerships, including leading healthcare systems, employers, digital health platforms, payors, and life insurance providers. In late 2024, we began use of a new version of Galleri in commercial channels which incorporates significant automation and is intended to enable us to scale more efficiently with future demand. In this real-world setting, Galleri is detecting deadly cancers in early stages, and healthcare providers have self-reported to us that Galleri’s signal origin capability enables them to efficiently direct the pathway following a positive test. As an early proponent of MCED testing, we have established strong relationships within the cancer and primary care community, including through partnerships with academic and community medical centers, key opinion leaders, and governmental policy and advocacy partners. Our dialogue with the NHS presents an opportunity to drive further adoption of Galleri, including by payors and health systems around the world. The NHS will evaluate the final results from the NHS-Galleri Trial, alongside other factors, before determining whether to implement the Galleri test in the NHS. We have also begun entering select international markets through distributor partners, including Israel and Canada, and intend to enter South Korea through our partnership with Samsung. Our commercial leadership is further supported by our high-capacity laboratory which is equipped to process Galleri tests at population screening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83845"/>
                <wp:effectExtent l="0" t="0" r="0" b="0"/>
                <wp:wrapNone/>
                <wp:docPr id="11" name="Frame1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Unprecedented clinical studies and real-world experience.</w:t>
      </w:r>
      <w:r>
        <w:rPr>
          <w:color w:val="000000"/>
        </w:rPr>
        <w:t xml:space="preserve"> </w:t>
      </w:r>
      <w:r>
        <w:rPr>
          <w:rFonts w:ascii="Arial;sans-serif" w:hAnsi="Arial;sans-serif"/>
          <w:b w:val="false"/>
          <w:color w:val="000000"/>
          <w:sz w:val="20"/>
        </w:rPr>
        <w:t>We designed and executed what we believe is th</w:t>
      </w:r>
      <w:r>
        <w:rPr>
          <w:rFonts w:ascii="Arial;sans-serif" w:hAnsi="Arial;sans-serif"/>
          <w:b w:val="false"/>
          <w:color w:val="000000"/>
          <w:sz w:val="20"/>
          <w:shd w:fill="FFFFFF" w:val="clear"/>
        </w:rPr>
        <w:t xml:space="preserve">e largest clinical program in genomic medicine to date. We have deep operational experience with over 800,000 tests processed across this clinical program and from our commercial experience, including </w:t>
      </w:r>
      <w:r>
        <w:rPr>
          <w:rFonts w:ascii="Arial;sans-serif" w:hAnsi="Arial;sans-serif"/>
          <w:b w:val="false"/>
          <w:color w:val="000000"/>
          <w:sz w:val="20"/>
        </w:rPr>
        <w:t>through partnerships with leading healthcare systems, employers, di</w:t>
      </w:r>
      <w:r>
        <w:rPr>
          <w:rFonts w:ascii="Arial;sans-serif" w:hAnsi="Arial;sans-serif"/>
          <w:b w:val="false"/>
          <w:color w:val="000000"/>
          <w:sz w:val="20"/>
          <w:shd w:fill="FFFFFF" w:val="clear"/>
        </w:rPr>
        <w:t>gital health platforms, payors, and life insurance providers. We are collecting population-scale clinical data from more than 385,000 participants across nine clinical studies, including over 180,000 patients enrolled in our PATHFINDER and PATHFINDER 2 clinical studies and our NHS-</w:t>
      </w:r>
      <w:r>
        <w:rPr>
          <w:rFonts w:ascii="Arial;sans-serif" w:hAnsi="Arial;sans-serif"/>
          <w:b w:val="false"/>
          <w:color w:val="000000"/>
          <w:sz w:val="20"/>
        </w:rPr>
        <w:t>Galleri Trial, the only interventional trials conducted in an intended use population to validate an MCED test. Our NHS-Galleri Trial, the first and largest randomized controlled trial of an MCED test, enrolled more than 140,000 individuals in just over 10 months. We are also enrolling up to 50,000 Medicare beneficiaries in our REACH/Galleri-Medicare study designed to evaluate the clinical impact of the Galleri MCED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as evidenced in the consistency in performance - including PPV, CSO accuracy and false positive rate - between our foundational work in CCGA and large scale study results from the NHS-Galleri Trial and PATHFINDER 2. We have submitted data from the NHS-Galleri Prevalent Screening Round and the PATHFINDER 2 Initial Results to the FDA as part of our PMA package. Together with our partners at leading community and academic medical centers in the United States and the United Kingdom, we expect to continue to report ongoing and long-term follow-up clinical data from our studies over many years.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Our highly-differentiated methylation platform, which enables product opportunities across the cancer care continuum.</w:t>
      </w:r>
      <w:r>
        <w:rPr>
          <w:color w:val="000000"/>
        </w:rPr>
        <w:t xml:space="preserve"> </w:t>
      </w:r>
      <w:r>
        <w:rPr>
          <w:rFonts w:ascii="Arial;sans-serif" w:hAnsi="Arial;sans-serif"/>
          <w:b w:val="false"/>
          <w:color w:val="000000"/>
          <w:sz w:val="20"/>
        </w:rPr>
        <w:t>We have taken a scientifically rigorous approach to develop a deep and comprehensive understanding of cancer biology. Our first version of Galleri was built from an atlas that characterized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CSO. We have continued to use data from our clinical studies to refine Galleri, designing for improved performance and cost efficiency over time. We have also used our proprietary methylation platform, on which Galleri is based,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biomarker discovery, detection of recurrence, and clinical monitoring. We have also published data supporting the use of our technology to enable faster diagnosis and care for patients presenting with non-specific symptoms that are suspicious for cancer.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Our intellectual property portfolio.</w:t>
      </w:r>
      <w:r>
        <w:rPr>
          <w:color w:val="000000"/>
        </w:rPr>
        <w:t xml:space="preserve"> </w:t>
      </w:r>
      <w:r>
        <w:rPr>
          <w:rFonts w:ascii="Arial;sans-serif" w:hAnsi="Arial;sans-serif"/>
          <w:b w:val="false"/>
          <w:color w:val="000000"/>
          <w:sz w:val="20"/>
        </w:rPr>
        <w:t>We own or license exclusive worldwide commercial rights to intellectual property covering Galleri and our products in development. Specifically, as of December 31, 2025, we have exclusive licenses to approximately 408 granted patents globally, and own or co-own more than 221 issued patents, with more than 400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83845"/>
                <wp:effectExtent l="0" t="0" r="0" b="0"/>
                <wp:wrapNone/>
                <wp:docPr id="12" name="Frame1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Our highly experienced and multidisciplinary team.</w:t>
      </w:r>
      <w:r>
        <w:rPr>
          <w:color w:val="000000"/>
        </w:rPr>
        <w:t xml:space="preserve"> </w:t>
      </w:r>
      <w:r>
        <w:rPr>
          <w:rFonts w:ascii="Arial;sans-serif" w:hAnsi="Arial;sans-serif"/>
          <w:b w:val="false"/>
          <w:color w:val="000000"/>
          <w:sz w:val="20"/>
        </w:rPr>
        <w:t>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Our Strategy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 xml:space="preserve">Establishing Galleri as the population multi-cancer screening standard and extending commercial leadership in large global markets. </w:t>
      </w:r>
      <w:r>
        <w:rPr>
          <w:rFonts w:ascii="Arial;sans-serif" w:hAnsi="Arial;sans-serif"/>
          <w:b w:val="false"/>
          <w:color w:val="000000"/>
          <w:sz w:val="20"/>
        </w:rPr>
        <w:t>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in major global markets over the age of 50, including over 100 million individuals in the United States. Our goal is to address cancer screening globally, beginning in large markets with established health systems, such as the United States and the United Kingdom, and extending to other markets over time through both direct market entry and distributors. We will continue to engage with key opinion leaders, healthcare providers, advocacy organizations, regulators, and payors to help drive broader scientific and commercial endorsement worldwide. In addition, we believe Galleri’s performance and Galleri’s utility in clinical practice, as demonstrated in our NHS-Galleri Trial (although it did not reach its primary endpoint) and PATHFINDER 2 studies, will drive clinical outcomes and high patient and provider satisfaction that will lead to further awareness and adoption. In particular, we have conducted market research showing that a stage 4 shift like that shown in the NHS-Galleri Trial would significantly influence a provider’s willingness to prescribe.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 xml:space="preserve">Expanding access to our products by pursuing FDA approval and reimbursement and coverage from payors. </w:t>
      </w:r>
      <w:r>
        <w:rPr>
          <w:rFonts w:ascii="Arial;sans-serif" w:hAnsi="Arial;sans-serif"/>
          <w:b w:val="false"/>
          <w:color w:val="000000"/>
          <w:sz w:val="20"/>
        </w:rPr>
        <w:t>Our ability to impact cancer outcomes will be accelerated in markets where we secure reimbursement for our products. Prior to broader coverage and reimbursement in the United States, we will continue our work with clinics, health systems and digital health platforms to accelerate utilization, and with self-insured employers and health insurers to offer and cover Galleri. In the United States, as of December 31, 2025 we have established coverage and reimbursement from a number of self-insured employers and multiple payors and health systems, including certain government payors such as TRICARE, but do not currently have broad coverage and reimbursement by government healthcare programs, such as Medicare, or large commercial payors. We are pursuing FDA approval to help support broad access for Galleri in the United States, and submitted our PMA to the FDA in January, 2026. We believe that FDA approval could unlock large commercial payors in the United States. In February 2026, a new law created a coverage benefit category to enable coverage of FDA-approved MCED tests by Medicare, with authority for CMS to initiate coverage as early as January 1, 2029 for the aged 50-65 Medicare population and expanding one age-year at a time annually. Nonetheless, no version of Galleri has been approved or cleared by the FDA and obtaining PMA approval can take several years, if at all, from the time the premarket application was submitted. Galleri may not be approved on our expected timeline or at all. If FDA approval is obtained, we also expect to pursue inclusion of Galleri in the USPSTF’s guideline recommendation, although such inclusion is not certain even with FDA approval. In the United Kingdom, we are in dialogue with NHS England. The NHS will evaluate the final results from the NHS-Galleri Trial, alongside other factors, before determining whether to implement the Galleri test in the NHS. We believe our work with the NHS and the data generated from our NHS-Galleri Trial (although it did not reach its primary endpoint), could help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83845"/>
                <wp:effectExtent l="0" t="0" r="0" b="0"/>
                <wp:wrapNone/>
                <wp:docPr id="13" name="Frame1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Defining, leading, and expanding adoption of MCED.</w:t>
      </w:r>
      <w:r>
        <w:rPr>
          <w:color w:val="000000"/>
        </w:rPr>
        <w:t xml:space="preserve"> </w:t>
      </w:r>
      <w:r>
        <w:rPr>
          <w:rFonts w:ascii="Arial;sans-serif" w:hAnsi="Arial;sans-serif"/>
          <w:b w:val="false"/>
          <w:color w:val="000000"/>
          <w:sz w:val="20"/>
        </w:rPr>
        <w:t>We pioneered the field of multi-cancer early detection and will continue to drive MCED as a solution to one of healthcare’s most important challenges. Since our inception in 2016, we have established and maintained a leading voice regarding the early detection of multiple cancer types in peer-reviewed literature. As of December 31, 2025, we have published more than 90 manuscripts, including in high profile journals like The Lancet, Nature, Nature Medicine, Cancer Cell, and The Lancet Oncology. We have also presented our data in more than 30 podium and 250 poster presentations at 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We believe this market development strategy will drive adoption of our products and further awareness of the benefits of MCED testing generally.</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Leveraging our existing infrastructure to enable and scale our growing business.</w:t>
      </w:r>
      <w:r>
        <w:rPr>
          <w:color w:val="000000"/>
        </w:rPr>
        <w:t xml:space="preserve"> </w:t>
      </w:r>
      <w:r>
        <w:rPr>
          <w:rFonts w:ascii="Arial;sans-serif" w:hAnsi="Arial;sans-serif"/>
          <w:b w:val="false"/>
          <w:color w:val="000000"/>
          <w:sz w:val="20"/>
        </w:rPr>
        <w:t>Over the last several years, we have made significant investments to build a scalable infrastructure capable of meeting significant demand of up to one million tests per year while satisfying stringent certification parameters. Our high-capacity laboratory is accredited by the College of American Pathologists (“CAP”) and certified by the Clinical Laboratory Improvement Amendments of 1988 (“CLIA”) and the New York State Department of Health (“NYSDoH”), which represents one of the most rigorous levels of validation required for laboratory developed tests. With the roll-out of our new version of Galleri in late 2024, our facility is able to process test volumes in excess of our current forecasts without requiring significant additional investment in capital expenditures.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speed and low failure rates. As demand for our products increases, we expect to leverage the scale efficiencies of our infrastructure and platform technology, which we believe will positively impact margins over time.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Driving cutting edge science and technology to continuously improve existing products and develop new products.</w:t>
      </w:r>
      <w:r>
        <w:rPr>
          <w:color w:val="000000"/>
        </w:rPr>
        <w:t xml:space="preserve"> </w:t>
      </w:r>
      <w:r>
        <w:rPr>
          <w:rFonts w:ascii="Arial;sans-serif" w:hAnsi="Arial;sans-serif"/>
          <w:b w:val="false"/>
          <w:color w:val="000000"/>
          <w:sz w:val="20"/>
        </w:rPr>
        <w:t>Our 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 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require the completion of certain clinical development and regulatory activities, such as any required non-inferiority or bridging studies, which may draw on clinical or real world data obtained through Galleri’s commercial use and which may need to be agreed upon with regulatory authorities. We will continue to improve our technologies and launch innovative products across the cancer care continuum.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83845"/>
                <wp:effectExtent l="0" t="0" r="0" b="0"/>
                <wp:wrapNone/>
                <wp:docPr id="14" name="Frame1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 xml:space="preserve">Sustaining a patient-first corporate culture that attracts top talent. </w:t>
      </w:r>
      <w:r>
        <w:rPr>
          <w:rFonts w:ascii="Arial;sans-serif" w:hAnsi="Arial;sans-serif"/>
          <w:b w:val="false"/>
          <w:color w:val="000000"/>
          <w:sz w:val="20"/>
        </w:rPr>
        <w:t>We have built a multi-disciplinary organization of leading scientists, engineers, clinicians and other professionals with a variety of backgrounds, all driven to improve outcomes for cancer patients. In our pursuit to improve cancer care and solve one of healthcare’s most important challenges, we recognize the importance of a workforce with different experiences, and we will continue to foster an agile and inclusive environment that is a destination for world-class talent with expertise from a variety of backgrounds. We believe our mission, values, and leadership attributes all contribute to this vibrant and inclusive culture and serve as a powerful magnet for talent.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Improving Cancer Care</w:t>
      </w:r>
    </w:p>
    <w:p>
      <w:pPr>
        <w:pStyle w:val="TextBody"/>
        <w:bidi w:val="0"/>
        <w:spacing w:lineRule="auto" w:line="288" w:before="240" w:after="283"/>
        <w:ind w:left="0" w:right="0" w:firstLine="489"/>
        <w:jc w:val="left"/>
        <w:rPr>
          <w:rFonts w:ascii="Arial;sans-serif" w:hAnsi="Arial;sans-serif"/>
          <w:b/>
          <w:i/>
          <w:color w:val="000000"/>
          <w:sz w:val="20"/>
        </w:rPr>
      </w:pPr>
      <w:r>
        <w:rPr>
          <w:rFonts w:ascii="Arial;sans-serif" w:hAnsi="Arial;sans-serif"/>
          <w:b/>
          <w:i/>
          <w:color w:val="000000"/>
          <w:sz w:val="20"/>
        </w:rPr>
        <w:t>The Burden of Cancer and the Benefits of Earlier Detection</w:t>
      </w:r>
    </w:p>
    <w:p>
      <w:pPr>
        <w:pStyle w:val="TextBody"/>
        <w:bidi w:val="0"/>
        <w:spacing w:lineRule="auto" w:line="288" w:before="240" w:after="283"/>
        <w:ind w:left="0" w:right="0" w:firstLine="490"/>
        <w:jc w:val="left"/>
        <w:rPr/>
      </w:pPr>
      <w:r>
        <w:rPr>
          <w:rFonts w:ascii="Arial;sans-serif" w:hAnsi="Arial;sans-serif"/>
          <w:b w:val="false"/>
          <w:color w:val="000000"/>
          <w:sz w:val="20"/>
        </w:rPr>
        <w:t xml:space="preserve">Cancer is a leading cause of death in both the United States and worldwide, with more than 20 million new cases and 10 million deaths globally in 2022. This burden is expected to grow as the global population ages. According to the data in the American Cancer Society’s </w:t>
      </w:r>
      <w:r>
        <w:rPr>
          <w:rFonts w:ascii="Arial;sans-serif" w:hAnsi="Arial;sans-serif"/>
          <w:b w:val="false"/>
          <w:i/>
          <w:color w:val="000000"/>
          <w:sz w:val="20"/>
        </w:rPr>
        <w:t>Cancer Facts &amp; Figures 2026</w:t>
      </w:r>
      <w:r>
        <w:rPr>
          <w:rFonts w:ascii="Arial;sans-serif" w:hAnsi="Arial;sans-serif"/>
          <w:b w:val="false"/>
          <w:color w:val="000000"/>
          <w:sz w:val="20"/>
        </w:rPr>
        <w:t xml:space="preserve">, there are expected to be 2.1 million new cancer cases and 626,000 cancer deaths in the United States in 2026. An analysis published in the AACR’s Cancer Epidemiology, Biomarkers and Prevention Journal (Cancer Epidemiol Biomarkers Prev. 2020; 29(7):1304–1312)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Arial;sans-serif" w:hAnsi="Arial;sans-serif"/>
          <w:b w:val="false"/>
          <w:i/>
          <w:color w:val="000000"/>
          <w:sz w:val="20"/>
        </w:rPr>
        <w:t>JAMA Oncology</w:t>
      </w:r>
      <w:r>
        <w:rPr>
          <w:color w:val="000000"/>
        </w:rPr>
        <w:t xml:space="preserve"> </w:t>
      </w:r>
      <w:r>
        <w:rPr>
          <w:rFonts w:ascii="Arial;sans-serif" w:hAnsi="Arial;sans-serif"/>
          <w:b w:val="false"/>
          <w:color w:val="000000"/>
          <w:sz w:val="20"/>
        </w:rPr>
        <w:t>in February 2023 (JAMA Oncol. 2023; 9(4):465–472), it is estimated that the global economic cost of cancer from 2020 to 2050 will be approximately $25 trillion.</w:t>
      </w:r>
    </w:p>
    <w:p>
      <w:pPr>
        <w:pStyle w:val="TextBody"/>
        <w:bidi w:val="0"/>
        <w:spacing w:lineRule="auto" w:line="288" w:before="240" w:after="283"/>
        <w:ind w:left="0" w:right="0" w:firstLine="490"/>
        <w:jc w:val="left"/>
        <w:rPr/>
      </w:pPr>
      <w:r>
        <w:rPr>
          <w:rFonts w:ascii="Arial;sans-serif" w:hAnsi="Arial;sans-serif"/>
          <w:b w:val="false"/>
          <w:color w:val="000000"/>
          <w:sz w:val="20"/>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Arial;sans-serif" w:hAnsi="Arial;sans-serif"/>
          <w:b w:val="false"/>
          <w:i/>
          <w:color w:val="000000"/>
          <w:sz w:val="20"/>
        </w:rPr>
        <w:t>Cancer</w:t>
      </w:r>
      <w:r>
        <w:rPr>
          <w:color w:val="000000"/>
        </w:rPr>
        <w:t xml:space="preserve"> </w:t>
      </w:r>
      <w:r>
        <w:rPr>
          <w:rFonts w:ascii="Arial;sans-serif" w:hAnsi="Arial;sans-serif"/>
          <w:b w:val="false"/>
          <w:i/>
          <w:color w:val="000000"/>
          <w:sz w:val="20"/>
        </w:rPr>
        <w:t>Epidemiology, Biomarkers &amp; Prevention Journal</w:t>
      </w:r>
      <w:r>
        <w:rPr>
          <w:color w:val="000000"/>
        </w:rPr>
        <w:t xml:space="preserve"> </w:t>
      </w:r>
      <w:r>
        <w:rPr>
          <w:rFonts w:ascii="Arial;sans-serif" w:hAnsi="Arial;sans-serif"/>
          <w:b w:val="false"/>
          <w:color w:val="000000"/>
          <w:sz w:val="20"/>
        </w:rPr>
        <w:t>in May 2020 (Cancer Epidemiol Biomarkers Prev. 2020; 29 (5): 895–902).</w:t>
      </w:r>
    </w:p>
    <w:p>
      <w:pPr>
        <w:pStyle w:val="TextBody"/>
        <w:bidi w:val="0"/>
        <w:spacing w:lineRule="auto" w:line="288" w:before="240" w:after="283"/>
        <w:ind w:left="0" w:right="0" w:firstLine="490"/>
        <w:jc w:val="left"/>
        <w:rPr/>
      </w:pPr>
      <w:r>
        <w:rPr>
          <w:rFonts w:ascii="Arial;sans-serif" w:hAnsi="Arial;sans-serif"/>
          <w:b w:val="false"/>
          <w:color w:val="000000"/>
          <w:sz w:val="20"/>
        </w:rPr>
        <w:t xml:space="preserve">Treatment costs increase by stage across all cancers, and, according to an article published in the </w:t>
      </w:r>
      <w:r>
        <w:rPr>
          <w:rFonts w:ascii="Arial;sans-serif" w:hAnsi="Arial;sans-serif"/>
          <w:b w:val="false"/>
          <w:i/>
          <w:color w:val="000000"/>
          <w:sz w:val="20"/>
        </w:rPr>
        <w:t>Journal of the National Comprehensive Cancer Network</w:t>
      </w:r>
      <w:r>
        <w:rPr>
          <w:color w:val="000000"/>
        </w:rPr>
        <w:t xml:space="preserve"> </w:t>
      </w:r>
      <w:r>
        <w:rPr>
          <w:rFonts w:ascii="Arial;sans-serif" w:hAnsi="Arial;sans-serif"/>
          <w:b w:val="false"/>
          <w:color w:val="000000"/>
          <w:sz w:val="20"/>
        </w:rPr>
        <w:t>in April 2018, (J Natl Compr. Canc. Netw. 2018 Apr; 16(4):402–410), treating cancers that are in more advanced stages can be up to two to four times more costly than treating cancers at earlier stages. In addition, an analysis published in Data (Data. 2017; 2(30):2–16) estimated that diagnosing cancer early could result in $26 billion (approximately 17% of total treatment costs) in annual cancer treatment cost-savings in the United States. MCED screening also has the potential to detect more cancers without emergency department involvement, which is associated with twice the mortality rate and over $100,000 higher health care costs in the first year, even when adjusted for cancer stage.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83845"/>
                <wp:effectExtent l="0" t="0" r="0" b="0"/>
                <wp:wrapNone/>
                <wp:docPr id="15" name="Frame1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Product</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Our Multi-Cancer Early Detection Test: Galleri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commercially available multi-cancer early detection screening test, Galleri, is transforming cancer care and has the potential to unlock substantial improvements in cancer detection and mortality.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Galleri is designed to complement the USPSTF’s recommended screenings, be easy to implement in practice, and improve overall population cancer detection. From a simple blood draw, Galleri screens an individual for a cancer signal shared by over 50 types of cancer, over 45 of which do not have recommended screening guidelines. Galleri has been studied in large clinical trials, including over 180,000 participants enrolled in interventional trials in the intended use population. In these clinical studies, Galleri has demonstrated an ability to predict the location of the suspected cancer with high accuracy, high PPV and a low false positive rate. For additional information, see “Business—Our Clinical Studies.” Galleri screening test results can help guide next steps for a diagnosis of cancer by healthcare providers in required follow-up diagnostic testing. We launched Galleri in the United States in mid-2021. As of December 31, 2025, we have sold more than 475,000 commercial tests. In this real-world setting, Galleri has detected deadly cancers in early stages, including, among others, endometrial, esophageal, gastrointestinal, head and neck, liver, pancreatic, and rectal cancers. Our test has been deployed across healthcare systems, employers, digital health platforms, payors, and life insurance providers, and for additional at-risk groups such as first responders, and continues to unlock the promise of early cancer detection.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developed Galleri with the following critical features necessary to address the requirements of a population-scale MCED screening test: </w:t>
      </w:r>
    </w:p>
    <w:p>
      <w:pPr>
        <w:pStyle w:val="TextBody"/>
        <w:bidi w:val="0"/>
        <w:spacing w:lineRule="auto" w:line="288" w:before="240" w:after="283"/>
        <w:ind w:left="0" w:right="0" w:firstLine="450"/>
        <w:jc w:val="left"/>
        <w:rPr/>
      </w:pPr>
      <w:r>
        <w:rPr>
          <w:rFonts w:ascii="Arial;sans-serif" w:hAnsi="Arial;sans-serif"/>
          <w:b/>
          <w:color w:val="000000"/>
          <w:sz w:val="20"/>
          <w:u w:val="single"/>
        </w:rPr>
        <w:t>Ability to identify a broad range of cancer types</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Galleri is able to detect a cancer signal shared across many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 This is supported by our PATHFINDER 2 Initial Results, where adding Galleri to recommended screenings led to a more than seven-fold increase in the number of cancers found within a year, and an approximately three-fold increase when prostate screening was included. Similarly we saw a four-fold increase in the number of cancers found in our NHS-Galleri Trial. Approximately three-quarters of the cancers detected by Galleri do not have standard of care screening options.</w:t>
      </w:r>
    </w:p>
    <w:p>
      <w:pPr>
        <w:pStyle w:val="TextBody"/>
        <w:bidi w:val="0"/>
        <w:spacing w:lineRule="auto" w:line="288" w:before="240" w:after="283"/>
        <w:ind w:left="0" w:right="0" w:firstLine="450"/>
        <w:jc w:val="left"/>
        <w:rPr>
          <w:rFonts w:ascii="Arial;sans-serif" w:hAnsi="Arial;sans-serif"/>
          <w:b/>
          <w:color w:val="000000"/>
          <w:sz w:val="20"/>
          <w:u w:val="single"/>
        </w:rPr>
      </w:pPr>
      <w:r>
        <w:rPr>
          <w:rFonts w:ascii="Arial;sans-serif" w:hAnsi="Arial;sans-serif"/>
          <w:b/>
          <w:color w:val="000000"/>
          <w:sz w:val="20"/>
          <w:u w:val="single"/>
        </w:rPr>
        <w:t>High PPV and low false positive rate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the PATHFINDER 2 Initial Results, Galleri demonstrated a high PPV of 61.6% and a low false positive rate of only 0.4%. Results from the full approximately 35,000 participants in the PATHFINDER 2 study were generally consistent with the PATHFINDER 2 Initial Results and performance from our NHS-Galleri Trial was consistent with the range previously reported from our North American studies.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While Galleri is designed to complement the current standard of care screening tests, Galleri’s high PPV is significantly higher than the PPV of all of the standard of care single-cancer screening tests. Galleri’s low false positive rate of less than 1% is also significantly lower than the false positive rate of all of the standard of care single-cancer screening tests. The PPV reported in PATHFINDER 2 for Galleri is based on whether cancer could be confirmed or other diagnostic resolution reached within 12 months after the blood draw, given that the true cancer status of participants was not known at the time of blood draw. Importantly, in our SYMPLIFY study in a symptomatic population, which is a different population than the asymptomatic population studied in PATHFINDER 2, PPV improved when the follow up window was extended from nine to 24 months, with 35.4% (28 of 79) of patients initially believed to have a false positive result later diagnosed with cancer.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83845"/>
                <wp:effectExtent l="0" t="0" r="0" b="0"/>
                <wp:wrapNone/>
                <wp:docPr id="16" name="Frame1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pPr>
      <w:r>
        <w:rPr>
          <w:rFonts w:ascii="Arial;sans-serif" w:hAnsi="Arial;sans-serif"/>
          <w:b/>
          <w:color w:val="000000"/>
          <w:sz w:val="20"/>
          <w:u w:val="single"/>
        </w:rPr>
        <w:t>Ability to predict with high accuracy the CSO and direct diagnostic workup</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PATHFINDER 2 Initial Results, Galleri demonstrated a high CSO accuracy of 92% for identifying the location of cancer, which supports physician approaches to diagnostic resolution through well-established workup pathways. Results from the full approximately 35,000 participants in the PATHFINDER 2 study showed a generally consistent CSO accuracy and CSO accuracy from our NHS-Galleri Trial was consistent with the range previously reported from our North American studies. CSO prediction accuracy represents the extent to which the CSO identified were correct among true positive tests. In the PATHFINDER 2 Initial Results, we found that Galleri’s CSO prediction facilitated diagnostic resolution in a median of 46 days, with only 0.6% of all participants undergoing an invasive procedure (159 of 25,114). Invasive procedures were two times more common in participants with cancer than in those without. Further, Galleri’s CSO prediction capability enables physicians to limit the use of full body imaging following cancer signal detected results, which can be expensive, not readily accessible to broad patient populations, expose patients to radiation, and can lead to false alarms and unnecessary ancillary workups. In the commercial setting healthcare providers have self-reported to us that Galleri’s signal origin capability enables them to efficiently direct the pathway following a positive test.</w:t>
      </w:r>
    </w:p>
    <w:p>
      <w:pPr>
        <w:pStyle w:val="TextBody"/>
        <w:bidi w:val="0"/>
        <w:spacing w:lineRule="auto" w:line="288" w:before="240" w:after="283"/>
        <w:ind w:left="0" w:right="0" w:firstLine="450"/>
        <w:jc w:val="left"/>
        <w:rPr/>
      </w:pPr>
      <w:r>
        <w:rPr>
          <w:rFonts w:ascii="Arial;sans-serif" w:hAnsi="Arial;sans-serif"/>
          <w:b/>
          <w:color w:val="000000"/>
          <w:sz w:val="20"/>
          <w:u w:val="single"/>
        </w:rPr>
        <w:t>Backed by robust analytical and clinical performance</w:t>
      </w:r>
      <w:r>
        <w:rPr>
          <w:color w:val="000000"/>
        </w:rPr>
        <w:t xml:space="preserve"> </w:t>
      </w:r>
    </w:p>
    <w:p>
      <w:pPr>
        <w:pStyle w:val="TextBody"/>
        <w:bidi w:val="0"/>
        <w:spacing w:lineRule="auto" w:line="288" w:before="240" w:after="283"/>
        <w:ind w:left="0" w:right="0" w:firstLine="450"/>
        <w:jc w:val="left"/>
        <w:rPr/>
      </w:pPr>
      <w:r>
        <w:rPr>
          <w:rFonts w:ascii="Arial;sans-serif" w:hAnsi="Arial;sans-serif"/>
          <w:b w:val="false"/>
          <w:color w:val="000000"/>
          <w:sz w:val="20"/>
        </w:rPr>
        <w:t>Galleri screening test performance is validated by extensive clinical studies. We have established a broad population-scale clinical evidence program, including approximately 35,000 participants in our PATHFINDER 2 interventional study in our intended use population and over 140,000 participants in our NHS-Galleri Trial measuring clinical utility, and more than 21,000 participants included in the studies that supported the development and initial launch of Galleri. We initially locked our assay for our commercial launch and have made periodic planned updates with additional locks, such as our implementation of our highly automated laboratory process and for our PMA submission. We believe we have established clinical validation on the locked versions of our assay and classifier in case-control and intended-use populations. A locked assay means that the assay and classifier are fully specified, with no further adjustments, other than planned updates. Each version update to our assay and classifier involves a concordance or non-inferiority study to show similar performance to our prior version.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Arial;sans-serif" w:hAnsi="Arial;sans-serif"/>
          <w:b w:val="false"/>
          <w:i/>
          <w:color w:val="000000"/>
          <w:sz w:val="20"/>
        </w:rPr>
        <w:t>e.g.</w:t>
      </w:r>
      <w:r>
        <w:rPr>
          <w:rFonts w:ascii="Arial;sans-serif" w:hAnsi="Arial;sans-serif"/>
          <w:b w:val="false"/>
          <w:color w:val="000000"/>
          <w:sz w:val="20"/>
        </w:rPr>
        <w:t>, participants with cancer) and a group of “controls” (</w:t>
      </w:r>
      <w:r>
        <w:rPr>
          <w:rFonts w:ascii="Arial;sans-serif" w:hAnsi="Arial;sans-serif"/>
          <w:b w:val="false"/>
          <w:i/>
          <w:color w:val="000000"/>
          <w:sz w:val="20"/>
        </w:rPr>
        <w:t>e.g.</w:t>
      </w:r>
      <w:r>
        <w:rPr>
          <w:rFonts w:ascii="Arial;sans-serif" w:hAnsi="Arial;sans-serif"/>
          <w:b w:val="false"/>
          <w:color w:val="000000"/>
          <w:sz w:val="20"/>
        </w:rPr>
        <w:t xml:space="preserve">,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study design and product development processes were robust enough to enable translation of similar performance from our foundational case control CCGA study to our interventional PATHFINDER study without seeing a degradation of performance, and showing improved performance on some metrics in our PATHFINDER 2 and NHS-Galleri Trial. We have shared evidence supporting Galleri’s performance at renowned medical conferences and published results from our studies in leading scientific and medical journals. </w:t>
      </w:r>
    </w:p>
    <w:p>
      <w:pPr>
        <w:pStyle w:val="TextBody"/>
        <w:bidi w:val="0"/>
        <w:spacing w:lineRule="auto" w:line="288" w:before="240" w:after="283"/>
        <w:ind w:left="0" w:right="0" w:firstLine="450"/>
        <w:jc w:val="left"/>
        <w:rPr>
          <w:rFonts w:ascii="Arial;sans-serif" w:hAnsi="Arial;sans-serif"/>
          <w:b/>
          <w:color w:val="000000"/>
          <w:sz w:val="20"/>
          <w:u w:val="single"/>
        </w:rPr>
      </w:pPr>
      <w:r>
        <w:rPr>
          <w:rFonts w:ascii="Arial;sans-serif" w:hAnsi="Arial;sans-serif"/>
          <w:b/>
          <w:color w:val="000000"/>
          <w:sz w:val="20"/>
          <w:u w:val="single"/>
        </w:rPr>
        <w:t>Ability to limit overdiagnosis of indolent cancers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Data across our clinical studies suggests that although Galleri detects cancer signals for some of the most aggressive cancers, detection of cancer signals for indolent cancer types, which people are less likely to die from, is low. For example, data published in JCO Precision Oncology in 2024 demonstrated that prostate cancers that were detected by Galleri were more aggressive and clinically significant as compared to indolent and slow growing prostate cancers. We believe these results demonstrate that the use of MCED tests in a population-based screening program is unlikely to contribute to overdiagnosis of slow-growing prostate cancers that may not need treatment.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83845"/>
                <wp:effectExtent l="0" t="0" r="0" b="0"/>
                <wp:wrapNone/>
                <wp:docPr id="17" name="Frame1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pPr>
      <w:r>
        <w:rPr>
          <w:rFonts w:ascii="Arial;sans-serif" w:hAnsi="Arial;sans-serif"/>
          <w:b/>
          <w:color w:val="000000"/>
          <w:sz w:val="20"/>
          <w:u w:val="single"/>
        </w:rPr>
        <w:t>Application to a diverse population</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 Additionally, we implemented multiple strategies to enroll a diverse and representative sample for our 140,000 participant NHS-Galleri study to enable trial results to be widely applicable.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these validation studies in broad and diverse populations are essential for any MCED test to launch in a broad intended use population, such as adults over the age of 50.</w:t>
      </w:r>
    </w:p>
    <w:p>
      <w:pPr>
        <w:pStyle w:val="TextBody"/>
        <w:bidi w:val="0"/>
        <w:spacing w:lineRule="auto" w:line="288" w:before="240" w:after="283"/>
        <w:ind w:left="0" w:right="0" w:firstLine="450"/>
        <w:jc w:val="left"/>
        <w:rPr/>
      </w:pPr>
      <w:r>
        <w:rPr>
          <w:rFonts w:ascii="Arial;sans-serif" w:hAnsi="Arial;sans-serif"/>
          <w:b/>
          <w:color w:val="000000"/>
          <w:sz w:val="20"/>
          <w:u w:val="single"/>
        </w:rPr>
        <w:t>Complementary to standard of care screenings</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over 70%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To estimate the potential impact of early cancer detection and mortality reduction, we developed and published a cancer epidemiology forecast model. In 2021, we published modeling data in </w:t>
      </w:r>
      <w:r>
        <w:rPr>
          <w:rFonts w:ascii="Arial;sans-serif" w:hAnsi="Arial;sans-serif"/>
          <w:b w:val="false"/>
          <w:i/>
          <w:color w:val="000000"/>
          <w:sz w:val="20"/>
        </w:rPr>
        <w:t>Cancer Epidemiology, Biomarkers &amp; Prevention</w:t>
      </w:r>
      <w:r>
        <w:rPr>
          <w:color w:val="000000"/>
        </w:rPr>
        <w:t xml:space="preserve"> </w:t>
      </w:r>
      <w:r>
        <w:rPr>
          <w:rFonts w:ascii="Arial;sans-serif" w:hAnsi="Arial;sans-serif"/>
          <w:b w:val="false"/>
          <w:color w:val="000000"/>
          <w:sz w:val="20"/>
        </w:rPr>
        <w:t xml:space="preserve">(Cancer Epidemiol Biomarkers Prev. 2021; 30:460–8) that estimated the potential impact of MCED testing on mortality reduction based on test performance in our CCGA-2 study and using 2006 to 2015 SEER data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or 39% of the five-year deaths expected if not for early detection by Galleri.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83845"/>
                <wp:effectExtent l="0" t="0" r="0" b="0"/>
                <wp:wrapNone/>
                <wp:docPr id="18" name="Frame1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This modelling is supported by our PATHFINDER 2 study, where we found that adding Galleri to recommended screenings for breast, cervical, colorectal, and lung cancers (USPSTF A and B recommendations) led to a more than seven-fold increase in the number of cancers found within a year. In that study, Galleri detected approximately three times as many cancers when added to standard-of-care screening for breast, cervical, colorectal, lung, and prostate cancers (USPSTF A, B, and C recommendations). We estimate that identification of many more cancer cases with a limited number of additional false positives would reduce the cost to diagnose one cancer by approximately 65%. </w:t>
      </w:r>
    </w:p>
    <w:p>
      <w:pPr>
        <w:pStyle w:val="TextBody"/>
        <w:bidi w:val="0"/>
        <w:spacing w:lineRule="auto" w:line="288" w:before="240" w:after="283"/>
        <w:ind w:left="0" w:right="0" w:firstLine="450"/>
        <w:jc w:val="left"/>
        <w:rPr/>
      </w:pPr>
      <w:r>
        <w:rPr>
          <w:rFonts w:ascii="Arial;sans-serif" w:hAnsi="Arial;sans-serif"/>
          <w:b/>
          <w:color w:val="000000"/>
          <w:sz w:val="20"/>
          <w:u w:val="single"/>
        </w:rPr>
        <w:t>Simple to implement and access</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In the commercial setting, healthcare providers have self-reported to us that Galleri’s CSO capability enables them to efficiently direct the pathway following a positive test. The test is available through a wide range of in-person and telemedicine care settings in the United States. Importantly, in 2025 and early 2026 we have established partnerships with a number of digital health partners to bring Galleri to a broader audience of patients. Galleri is conveniently accessible to patients who can complete the blood draw at physician offices, reference labs, and mobile phlebotomy labs, among other locations. Key integrations, such as our integration with Quest to provide a simpler blood draw process and our planned integration with EPIC to simplify provider ordering, help make Galleri even more accessible. In addition, Galleri can be easily integrated into routine practice, where healthcare providers can order Galleri as part of an annual examination.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Support Services for Physicians that Drive a Positive Patient Experience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 We also provide patient navigation services in the rare cases that patients require support in navigating post-positive care pathways.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our software systems support a positive experience for providers and their patients. Our provider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that is delivered through our secure web portal to the ordering healthcare providers and patient to show whether or not a cancer signal is detected, and if so, to predict where in the body the cancer signal is located.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Through commercial and clinical use of Galleri, we have collected a number of positive patient testimonials from patients where Galleri detected a cancer signal, including from patients who have self-identified in media stories.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83845"/>
                <wp:effectExtent l="0" t="0" r="0" b="0"/>
                <wp:wrapNone/>
                <wp:docPr id="19" name="Frame1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Investment to Enhance Versions of Tests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seek to continually enhance the performance and features of Galleri. Commercial use and ongoing research programs provide valuable data that we believe can enhance test performance, efficiency and other test characteristics. Real-world evidence is already informing product improvements today. In late 2024, we deployed an updated commercial version of our Galleri test incorporating an automated platform and in preparation for our PMA submission we developed and locked a new version for FDA review. We will leverage even larger datasets to further develop our advanced machine learning algorithms. By further refining and selecting subsets of highly informative regions for CSO detection to reduce panel size, we could achieve deeper sequencing coverage and lower sequencing costs, as we did with our new version launched in 2024.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 New products, including enhanced versions of current products, will require the completion of certain clinical development and regulatory activities, such as non-inferiority studies using clinical study data and real world evidence data obtained through Galleri’s commercial use and bridging studies to measure and evaluate concordance, performance and safety of a subsequent, enhanced version of our product versus the relevant existing product. Any bridging study will need to be agreed upon with regulatory authorities.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Precision Oncology Portfolio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and AstraZeneca has selected Galleri for use in important trials. Our RUO offering business is highly dependent on these partnerships and trials, and delays or terminations of trials can have a significant impact on the revenue we generate from this business, even if the reason for termination is unrelated to our RUO offering. For example, in late 2025, one of our pharmaceutical partners terminated its phase 3 trial due to low enrollment, for which our methylation technology was used as a potential companion diagnostic for enrolling participants. Even where trials are delayed or terminated, we may continue to have opportunities with the partner to continue developing companion diagnostics and other technology, or conduct other trials.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we conducted an analytical validation study in which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83845"/>
                <wp:effectExtent l="0" t="0" r="0" b="0"/>
                <wp:wrapNone/>
                <wp:docPr id="20" name="Frame2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Additional Products in Development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enable bringing potential new applications of our technology to market.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Clinical</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Clinical Studies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have built what we believe is one of the largest clinical programs in genomic medicine to date. Since our founding, we have undertaken a rigorous approach to identify in a blood sample the most informative markers of cancer. We are collecting population-scale clinical data from more than 385,000 participants across nine clinical studies, including over 180,000 patients enrolled in our PATHFINDER and PATHFINDER 2 clinical studies and our NHS-Galleri Trial, the only interventional trials conducted in an intended use population to validate an MCED test. We are also enrolling up to 50,000 Medicare beneficiaries in our Real-world Evidence to Advance multi-Cancer early detection Health equity (“REACH” or “Galleri-Medicare”) interventional study designed to evaluate the clinical impact of Galleri in a population of Medicare beneficiaries, including racial and ethnic minorities, and seniors from historically underserved communities. These studies also include our foundational case-control CCGA study and interventional PATHFINDER study, which were used to develop and validate our MCED technology and launch Galleri as a commercial LDT product and other products. Through these studies and our ongoing collection of real-world data, we have built what we believe is an unprecedented longitudinal dataset of high quality, linked clinical and genomic data.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PATHFINDER 2 study and NHS-Galleri Trial were designed to support our PMA submission, with select inclusion criteria (matching the intended use population for Galleri), use of an appropriate locked assay, and enrollment of a sufficient number of participants to facilitate the generation of appropriate data and evidence to support safety and efficacy. These foundational population-scale studies involve partnerships with numerous leading academic and cancer institutions and large community networks, including, among others, Cancer Hope Network, the Cleveland Clinic, Dana-Farber Cancer Institute, Geisinger Health, Guardian Research Network, HCA Healthcare, Memorial Sloan Kettering, Mayo Clinic, OcshnerHealth, Oregon Health Sciences University, Sutter Health, University of California San Francisco and the US Oncology Network.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studies include the collection of blood and, as available and as directed by the protocol, tissue samples, demographic data, patient-reported outcomes data, scan data and clinical data from participants. We integrate this information with the genomic data created from sequencing the samples and utilize these data to both train and validate our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 Each of our studies has been conducted on an earlier version of Galleri than the currently available commercial version or the version we have submitted to the FDA for PMA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83845"/>
                <wp:effectExtent l="0" t="0" r="0" b="0"/>
                <wp:wrapNone/>
                <wp:docPr id="21" name="Frame2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clinical studies are summarized in the table below:</w:t>
      </w:r>
    </w:p>
    <w:p>
      <w:pPr>
        <w:pStyle w:val="TextBody"/>
        <w:bidi w:val="0"/>
        <w:spacing w:before="240" w:after="283"/>
        <w:ind w:left="0" w:right="0" w:firstLine="450"/>
        <w:jc w:val="left"/>
        <w:rPr/>
      </w:pPr>
      <w:r>
        <w:rPr/>
        <w:drawing>
          <wp:inline distT="0" distB="0" distL="0" distR="0">
            <wp:extent cx="6115050" cy="409575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6115050" cy="4095750"/>
                    </a:xfrm>
                    <a:prstGeom prst="rect">
                      <a:avLst/>
                    </a:prstGeom>
                  </pic:spPr>
                </pic:pic>
              </a:graphicData>
            </a:graphic>
          </wp:inline>
        </w:drawing>
      </w:r>
      <w:bookmarkStart w:id="0" w:name="i-1"/>
      <w:bookmarkEnd w:id="0"/>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were the first to invest in and initiate multiple, large clinical validation studies for multi-cancer early detection. Results from PATHFINDER, our first completed return-of-results study, provided critical data to support the launch of Galleri and understand how clinicians implement Galleri into care pathways in clinical practice. Our PMA submission package includes the PATHFINDER 2 Initial Results, the NHS-Galleri Prevalent Round Results, and the Bridging Analysis. We have completed enrollment in these studies: NHS-Galleri, PATHFINDER 2, PATHFINDER, Circulating Cell-free Genome Atlas (“CCGA”), SUMMIT, STRIVE, and SYMPLIFY. We are actively enrolling our REACH/Galleri-Medicare Study. We are also conducting a real world evidence collection program called REFLECTION.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presented data and published results from many of these clinical studies in leading forums, including multiple major medical conferences, such as AACR, ASCO, and ESMO, and leading journals, such as The Lancet, Nature, Nature Medicine, Cancer Cell, and The Lancet Oncology.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Importantly, our clinical program was designed to enable test development for a diverse population, and enrollment was managed to capture diversity across multiple characteristics including diversity in behaviors (such as smoking), non-cancer diseases, environmental exposures, age, gender, race, ethnicity, socio-economic status, and other potentially confounding indications or characteristics. Understanding and cataloging this diversity has enabled us to develop a test with a low false positive rate, cancer signal detection across many cancer types, and accurate CSO prediction. Long-term follow-up in the studies we have launched in years past will continue to yield critical data that we believe can continue to help define the standard of care in early cancer detection.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83845"/>
                <wp:effectExtent l="0" t="0" r="0" b="0"/>
                <wp:wrapNone/>
                <wp:docPr id="23" name="Frame2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NHS-Galleri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Funding for the trial was provided by us. Collaborators include Queen Mary University of London, Kings College London Cancer Prevention Trials Unit, and NHS England. The NHS-Galleri Trial was conducted pursuant to an FDA-approved investigational device exemption (“IDE”) application. The primary objective of the trial was to assess whether implementation of Galleri can reduce the incidence of stage 3 and 4 cancers through early cancer detection. Secondary objectives included measuring the reduction of incidence of stage 4 cancers through early detection and collecting outcomes reported by participants with a cancer signal detected test over several timepoints. These outcomes included an assessment of participants’ anxiety, satisfaction with Galleri, and attitudes regarding standard of care screening. The trial aimed to enroll a representative population sample to promote health equity and was fully enrolled in just over 10 months. The trial was designed for participants to provide three blood draws over a two-year period, with the first draw taken at enrollment. As a randomized controlled trial, half of the trial participants received the Galleri test, and half had their blood sample stored for future analysis. Any participant in the interventional arm with a cancer signal detected result was sent for further diagnostic workup with the NHS. The third and final round of screening was completed in July, 2024. The trial was overseen by an Independent Data Monitoring Committee.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NHS previously evaluated results of an early analysis from the first screening test (the prevalent screening round) in the NHS-Galleri Trial to determine whether the results were compelling enough to commence an implementation pilot prior to the final trial results. The results of this early analysis represented limited information from only one year of results out of the three-year trial period. In May 2024, the NHS determined not to initiate the pilot until the final trial results are available. The NHS will evaluate the final results from the NHS-Galleri Trial before determining whether to implement the Galleri test in the NHS . We submitted data from the NHS-Galleri Trial, together with data from our PATHFINDER 2 study and the Bridging Analysis, to support our PMA submission for Galleri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May 2025, we announced positive top-line results from the prevalent screening round (first year) of the study. Data from the prevalent screening round of the study showed a substantially higher PPV than that observed in the PATHFINDER study. CSO accuracy and specificity were consistent with those observed in the PATHFINDER study. There were no serious safety concerns in the NHS-Galleri prevalent screening round.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February 2026, we announced topline results from the NHS-Galleri Trial that showed: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While the trial did not meet its primary endpoint of statistically significant reduction in combined stage 3 and 4 cancers, there was a favorable trend toward fewer combined stage 3 and 4 cancers in a pre-specified group of 12 deadly cancers in the intervention arm after the prevalent screening round. The pre-specified group of cancers consisted of anus, bladder, colorectal, esophagus, head and neck, liver/bile duct, lung, lymphoma, myeloma/plasma cell neoplasm, ovary, pancreas, and stomach, which together are responsible for over 60% of all cancer deaths in the United States and the United Kingdom.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Adding Galleri to standard of care screening resulted in a substantial and clinically meaningful reduction in stage 4 diagnoses compared with standard of care alone across the pre-specified group of 12 deadly cancers. Stage 4 diagnoses in these cancers decreased with each year of sequential screening, with a greater than 20% reduction in the second and third rounds.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 similar stage 4 reduction overall and in each year of sequential screening was observed across all cancers.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Annual screening with the Galleri test plus standard of care screening resulted in a four-fold improvement in the overall cancer detection rate compared to standard of care screening alone in England for (breast, colorectal, cervical and high risk lung cancer).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83845"/>
                <wp:effectExtent l="0" t="0" r="0" b="0"/>
                <wp:wrapNone/>
                <wp:docPr id="24" name="Frame2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A substantial increase in the number of Stage I-II cancers in the 12 pre-specified deadly cancer types that are typically found in late stages were observed in the intervention arm.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Screening with the Galleri test resulted in a substantial reduction in the number of cancers detected clinically through emergency department presentation, which are associated with significantly higher mortality and healthcare costs.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Test performance on PPV, CSO accuracy and false positive rate was consistent with the range reported in previous studies.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undertaking additional analyses to better understand these rich data, and intend to submit detailed results for presentation at the ASCO 2026 Annual Meeting. Among other initial observations about the results, we found a higher than anticipated incidence of stage 3 cancers in the trial. Time to diagnostic resolution did not appear to change significantly between screening rounds, and was not substantially different than our PATHFINDER 2 study.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to the full data to be presented at ASCO, we plan to collect and readout additional data over time. Based on our observation of the trends and number and distribution of cancer stages across screening rounds, we also plan to extend the follow up period by an additional 6 to 12 months, which we believe will provide additional insights as data in both the intervention and control arms mature and more cancers appear.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83845"/>
                <wp:effectExtent l="0" t="0" r="0" b="0"/>
                <wp:wrapNone/>
                <wp:docPr id="25" name="Frame2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design of our NHS-Galleri Trial is summarized in the figure below:</w:t>
      </w:r>
    </w:p>
    <w:p>
      <w:pPr>
        <w:pStyle w:val="TextBody"/>
        <w:bidi w:val="0"/>
        <w:spacing w:before="240" w:after="283"/>
        <w:ind w:left="0" w:right="0" w:firstLine="450"/>
        <w:jc w:val="left"/>
        <w:rPr/>
      </w:pPr>
      <w:r>
        <w:rPr/>
        <w:drawing>
          <wp:inline distT="0" distB="0" distL="0" distR="0">
            <wp:extent cx="5667375" cy="627697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5667375" cy="6276975"/>
                    </a:xfrm>
                    <a:prstGeom prst="rect">
                      <a:avLst/>
                    </a:prstGeom>
                  </pic:spPr>
                </pic:pic>
              </a:graphicData>
            </a:graphic>
          </wp:inline>
        </w:drawing>
      </w:r>
      <w:bookmarkStart w:id="1" w:name="i-2"/>
      <w:bookmarkEnd w:id="1"/>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PATHFINDER 2</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enrolled approximately 35,000 participants at 32 clinical institutions in North America. Enrollment was completed in July, 2024. Funding for PATHFINDER 2 was provided by us. Collaborators include, among others, the Cleveland Clinic, Duke Health, Henry Ford Health System, Mayo Clinic, Oregon Health and Science University (OHSU), Memorial Care, Sutter Health, and the US Oncology Network. These collaborations are subject to terms generally consistent with industry sponsored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83845"/>
                <wp:effectExtent l="0" t="0" r="0" b="0"/>
                <wp:wrapNone/>
                <wp:docPr id="27" name="Frame2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(i.e., false positive) and to evaluate the performance of Galleri across various measures, including PPV, NPV, sensitivity, specificity, and CSO prediction accuracy, among others. Participants who received a cancer signal detected result underwent additional diagnostic testing based on the predicted CSO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Collection was made at baseline measurement prior to testing, post-results, and post-diagnostic resolution for positive test results.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October 2025, we presented positive PATHFINDER 2 Initial Results from the first approximately 25,000 participants in the study with 12 months of follow-up at the ESMO meeting. Data also showed a PPV of 61.6%, substantially higher than in the previous PATHFINDER study. The CSO accuracy of 92% and false positive rate of 0.4% were consistent with that observed in the PATHFINDER study. Adding Galleri to recommended screenings for breast, cervical, colorectal, and lung cancers (USPSTF A and B recommendations) led to a more than seven-fold increase in the number of cancers found within a year. Galleri detected approximately three times as many cancers when added to standard-of-care screening for breast, cervical, colorectal, lung, and prostate cancers (USPSTF A, B, and C recommendations). Approximately three-quarters of the cancers detected by Galleri do not have standard of care screening options.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Results from the full approximately 35,000 participants in the PATHFINDER 2 study were generally consistent with the results presented at ESMO.</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January 2025, we submitted the PATHFINDER 2 Initial Results, along with the NHS-Galleri Prevalent Round Results and the Bridging Analysis, to support our PMA submission for Galleri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design of our PATHFINDER 2 study is summarized in the figure below:</w:t>
      </w:r>
    </w:p>
    <w:p>
      <w:pPr>
        <w:pStyle w:val="TextBody"/>
        <w:bidi w:val="0"/>
        <w:spacing w:before="240" w:after="283"/>
        <w:ind w:left="0" w:right="0" w:firstLine="450"/>
        <w:jc w:val="left"/>
        <w:rPr/>
      </w:pPr>
      <w:r>
        <w:rPr/>
        <w:drawing>
          <wp:inline distT="0" distB="0" distL="0" distR="0">
            <wp:extent cx="6115050" cy="2495550"/>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6115050" cy="2495550"/>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83845"/>
                <wp:effectExtent l="0" t="0" r="0" b="0"/>
                <wp:wrapNone/>
                <wp:docPr id="29" name="Frame2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PATHFINDER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December 2019, we initiated PATHFINDER, a prospective, multi-center, interventional study evaluating an earlier version of Galleri in clinical practice. The study enrolled 6,662 participants across several health systems in the United States. Funding for PATHFINDER was provided by us. Collaborators included, among others, the Cleveland Clinic, Dana-Farber Cancer Institute, Intermountain Healthcare, Mayo Clinic, Oregon Health &amp; Science University, Sutter Health, and the US Oncology Network, and no serious adverse events were identified. These collaborations were subject to terms generally consistent with industry sponsored studies. The study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The Lancet in October 2023. These data, in conjunction with the results from our CCGA study, supported our launch of Galleri as a LDT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patients with a cancer signal detected result, the predicted CSO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the first workup based on CSO facilitated a diagnostic resolution in 25 of the 32 participants who had diagnostic resolution (approximately 80%). This group of 32 participants consisted of only those who received a cancer signal detected result from both Galleri and an earlier version of our MCED test also being studied in PATHFINDER.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Study results with the earlier version of the test showed a high PPV of approximately 38%, high (97%) CSO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CSO prediction accuracy. Specificity was 99.1% with the earlier version of the test and 99.5% with the refined version of the test, resulting in a false positive rate of less than 1% for both versions of the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83845"/>
                <wp:effectExtent l="0" t="0" r="0" b="0"/>
                <wp:wrapNone/>
                <wp:docPr id="30" name="Frame2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design of our PATHFINDER study is summarized in the figure below:</w:t>
      </w:r>
    </w:p>
    <w:p>
      <w:pPr>
        <w:pStyle w:val="TextBody"/>
        <w:bidi w:val="0"/>
        <w:spacing w:before="240" w:after="283"/>
        <w:ind w:left="0" w:right="0" w:firstLine="450"/>
        <w:jc w:val="left"/>
        <w:rPr/>
      </w:pPr>
      <w:r>
        <w:rPr/>
        <w:drawing>
          <wp:inline distT="0" distB="0" distL="0" distR="0">
            <wp:extent cx="6115050" cy="261937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6115050" cy="2619375"/>
                    </a:xfrm>
                    <a:prstGeom prst="rect">
                      <a:avLst/>
                    </a:prstGeom>
                  </pic:spPr>
                </pic:pic>
              </a:graphicData>
            </a:graphic>
          </wp:inline>
        </w:drawing>
      </w:r>
      <w:bookmarkStart w:id="3" w:name="i-4"/>
      <w:bookmarkEnd w:id="3"/>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Circulating Cell-free Genome Atlas Study (CCGA)</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diagnostic aid for cancer (“DAC”) offering. The CCGA study enrolled 15,254 participants, 56% of which had newly diagnosed cancer, inclusive of both early-and late-stage disease, and 44% of which did not have a known cancer diagnosis at the time of enrollment. Funding for the CCGA study was provided by us. Collaborators included, among others, the Cleveland Clinic, Dana-Farber Cancer Institute, Lahey Hospital and Medical Center, Mayo Clinic, and the US Oncology Network, and no serious adverse events were identified. These collaborations were subject to terms generally consistent with industry sponsored studies. We completed enrollment of our CCGA study in February 2019, and follow-up with participants is ongoing and expected to continue until 2024. The results of CCGA, in conjunction with the results from our PATHFINDER study, supported our launch of Galleri as an LDT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goals of CCGA included the development and evaluation of classifiers to distinguish cancer cfDNA from non-cancer cfDNA and the identification of classifiers for the cfDNA prediction of CSO.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83845"/>
                <wp:effectExtent l="0" t="0" r="0" b="0"/>
                <wp:wrapNone/>
                <wp:docPr id="32" name="Frame2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evaluated data from the CCGA study in three pre-specified sub-studies, each as described in more detail below. The design of our CCGA study, including the three pre-specified sub-studies, is summarized in the figure below:</w:t>
      </w:r>
    </w:p>
    <w:p>
      <w:pPr>
        <w:pStyle w:val="TextBody"/>
        <w:bidi w:val="0"/>
        <w:spacing w:before="240" w:after="283"/>
        <w:ind w:left="0" w:right="0" w:firstLine="450"/>
        <w:jc w:val="left"/>
        <w:rPr/>
      </w:pPr>
      <w:r>
        <w:rPr/>
        <w:drawing>
          <wp:inline distT="0" distB="0" distL="0" distR="0">
            <wp:extent cx="6115050" cy="4533900"/>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6"/>
                    <a:stretch>
                      <a:fillRect/>
                    </a:stretch>
                  </pic:blipFill>
                  <pic:spPr bwMode="auto">
                    <a:xfrm>
                      <a:off x="0" y="0"/>
                      <a:ext cx="6115050" cy="4533900"/>
                    </a:xfrm>
                    <a:prstGeom prst="rect">
                      <a:avLst/>
                    </a:prstGeom>
                  </pic:spPr>
                </pic:pic>
              </a:graphicData>
            </a:graphic>
          </wp:inline>
        </w:drawing>
      </w:r>
      <w:bookmarkStart w:id="4" w:name="i-5"/>
      <w:bookmarkEnd w:id="4"/>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CCGA-1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CCGA-1, our first CCGA sub-study of approximately 2,800 participants, we investigated various comprehensive cfDNA-based approaches for the detection of cancer signals and the prediction of the CSO,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CSO prediction. After comprehensive analysis of these whole-genome methylation patterns, we discovered highly informative and low-noise methylation regions for cancer signal detection and CSO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83845"/>
                <wp:effectExtent l="0" t="0" r="0" b="0"/>
                <wp:wrapNone/>
                <wp:docPr id="34" name="Frame2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methylation. Data from this sub-study were shared in several oral and poster presentations at multiple major medical conferences, including at AACR, ASCO, and ESMO, and were published in Cancer Cell.</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CCGA-2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primary objective of the CCGA-2 sub-study was to train and validate a classifier for cancer detection versus non-cancer detection, and CSO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Results from the CCGA-2 sub-study were published in the Annals of Oncology 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CSO prediction was correct in more than 90% of true positive test results.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CCGA-3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CSO prediction accuracy were measured.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Results of the CCGA-3 sub-study were published in the Annals of Oncology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CSO prediction was correct in approximately 89% of true positive test results.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STRIVE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Funding for the study is provided by us. Collaborators include, among others, the Cleveland Clinic, Henry Ford Health System, Mayo Clinic, and Sutter Health, and no serious adverse events have been identified. These collaborations are subject to terms generally consistent with industry sponsored studies.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 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83845"/>
                <wp:effectExtent l="0" t="0" r="0" b="0"/>
                <wp:wrapNone/>
                <wp:docPr id="35" name="Frame3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SUMMIT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SUMMIT is a prospective, observational, longitudinal cohort study that is being conducted in and around London, United Kingdom. Funding for the study is provided by us. Collaborators include University College London and University College London Hospitals, and no serious adverse events have been identified. These collaborations are subject to terms generally consistent with industry sponsored studies.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SUMMIT study may also demonstrate the utility of MCED testing in a high-risk population by comparing performance of Galleri in detecting lung and other smoking-related cancers to that of LDCT. We expect to report interim results from the SUMMIT study in 2026 or 2027.</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REFLECTION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REFLECTION is a multi-center, prospective, observational cohort study of patients administered Galleri as part of their medical care in a real-world setting in the United States that enrolled approximately 14,000 individuals. The purpose of the study was to evaluate and understand the real-world experience with Galleri in clinical settings. The objectives of the study are to describe cancer signal detection and CSO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began enrolling the REFLECTION study in August 2021 and enrollment was completed in September, 2025. Funding for the study is provided by us. Collaborators include, or have previously included, Carolina Blood and Cancer Care Associates, Providence, U.S. Department of Veterans Affairs, and Vincere Cancer Center. These collaborations are subject to terms generally consistent with industry sponsored studies. No serious study-related adverse events have been identified.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Initial results from 2,854 participants in the study were presented in October 2024 at the Early Detection of Cancer Conference. In this initial cohort, the cancer signal detection rate was 1.30% (37/2854 participants; 95% CI: 0.94% – 1.78%), which is consistent with other populations that have received the MCED test. Among the 37 participants with a Cancer Signal Detected (CSD) at the time of analysis, 28 completed 180 days of follow-up, and of these, 12 cancer diagnoses were confirmed. More than half of the cases were identified at early stages (I-III) and the most common cancer signal of origin prediction was lung cancer (7). Positive predictive value was 42.9%, consistent with PPVs from previous Galleri testing datasets. Additional results from an expanded cohort of 3,355 participants were presented in October of 2025 at the Early Detection of Cancer Conference. In this expanded cohort, the cancer signal detection rate was 0.89% (30/3355 participants; 95% CI: 0.63 – 1.27%), in-line with other populations that have received the MCED test. Among the 30 participants with a Cancer Signal Detected result, 15 had a confirmed cancer diagnosis, resulting in a PPV of 50%, consistent with other clinical studies and real world evidence. Of the 14 confirmed new cancers, 57.1% (8/14) were detected at stages I or II. The CSO accuracy remained high at 93.3%. Additional cancers could be diagnosed during the remainder of the one-year follow-up period for the cohort.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83845"/>
                <wp:effectExtent l="0" t="0" r="0" b="0"/>
                <wp:wrapNone/>
                <wp:docPr id="36" name="Frame3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design of our REFLECTION study is summarized in the figure below:</w:t>
      </w:r>
    </w:p>
    <w:p>
      <w:pPr>
        <w:pStyle w:val="TextBody"/>
        <w:bidi w:val="0"/>
        <w:spacing w:before="240" w:after="283"/>
        <w:ind w:left="0" w:right="0" w:firstLine="450"/>
        <w:jc w:val="left"/>
        <w:rPr/>
      </w:pPr>
      <w:r>
        <w:rPr/>
        <w:drawing>
          <wp:inline distT="0" distB="0" distL="0" distR="0">
            <wp:extent cx="6115050" cy="1209675"/>
            <wp:effectExtent l="0" t="0" r="0" b="0"/>
            <wp:docPr id="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 descr=""/>
                    <pic:cNvPicPr>
                      <a:picLocks noChangeAspect="1" noChangeArrowheads="1"/>
                    </pic:cNvPicPr>
                  </pic:nvPicPr>
                  <pic:blipFill>
                    <a:blip r:embed="rId7"/>
                    <a:stretch>
                      <a:fillRect/>
                    </a:stretch>
                  </pic:blipFill>
                  <pic:spPr bwMode="auto">
                    <a:xfrm>
                      <a:off x="0" y="0"/>
                      <a:ext cx="6115050" cy="1209675"/>
                    </a:xfrm>
                    <a:prstGeom prst="rect">
                      <a:avLst/>
                    </a:prstGeom>
                  </pic:spPr>
                </pic:pic>
              </a:graphicData>
            </a:graphic>
          </wp:inline>
        </w:drawing>
      </w:r>
      <w:bookmarkStart w:id="5" w:name="i-6"/>
      <w:bookmarkEnd w:id="5"/>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SYMPLIFY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Funding for the study is provided by us. Collaborators include Oxford University. This collaboration is subject to terms generally consistent with industry sponsored studies.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CSO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The Lancet Oncology, and we are using the results to support the development and launch of DAC.</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study, 368 (6.7%) of the 5,461 evaluable patients were diagnosed with cancer through standard of care pathways. The most common cancer diagnoses were colorectal (37.2%), lung (22.0%), uterine (8.2%), 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CSO prediction accuracy of approximately 90%. Among participants in the study, 6.7% of enrolled participants were eventually diagnosed with cancer, having already been referred by their primary care physician for investigation.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October 2025, we presented long-term results from an extended registry follow-up of the SYMPLIFY study at the Early Detection of Cancer Conference (EDCC) in Portland, Oregon. Patients reported to have a false positive Galleri result were followed for 24 months in national cancer registries for England and Wales. The analysis showed that 35.4% (28 of 79 participants) were later diagnosed with cancer within 24 months of enrollment. This reduction in false positives from 79 to 51 resulted in an increase of PPV to 84.2%. Of those 28 participants, 27 had an accurate CSO prediction. Additional results include:</w:t>
      </w:r>
    </w:p>
    <w:p>
      <w:pPr>
        <w:pStyle w:val="TextBody"/>
        <w:bidi w:val="0"/>
        <w:spacing w:lineRule="auto" w:line="288" w:before="240" w:after="283"/>
        <w:ind w:left="0" w:right="0" w:firstLine="90"/>
        <w:jc w:val="left"/>
        <w:rPr/>
      </w:pPr>
      <w:r>
        <w:rPr>
          <w:color w:val="000000"/>
        </w:rPr>
        <w:t>•</w:t>
      </w:r>
      <w:r>
        <w:rPr>
          <w:rFonts w:ascii="Arial;sans-serif" w:hAnsi="Arial;sans-serif"/>
          <w:b w:val="false"/>
          <w:color w:val="000000"/>
          <w:sz w:val="20"/>
        </w:rPr>
        <w:t>16 of the 28 (57.1%) were diagnosed with cancer within nine months of enrollment.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Eight of the 16 (50%) were diagnosed with cancers that were correctly predicted by the Galleri test’s CSO finding, but were incongruent with the diagnostic pathway chosen by the general practitioner based on the participants’ presenting symptoms.</w:t>
      </w:r>
    </w:p>
    <w:p>
      <w:pPr>
        <w:pStyle w:val="TextBody"/>
        <w:bidi w:val="0"/>
        <w:spacing w:lineRule="auto" w:line="288" w:before="240" w:after="283"/>
        <w:ind w:left="0" w:right="0" w:firstLine="90"/>
        <w:jc w:val="left"/>
        <w:rPr/>
      </w:pPr>
      <w:r>
        <w:rPr>
          <w:color w:val="000000"/>
        </w:rPr>
        <w:t>•</w:t>
      </w:r>
      <w:r>
        <w:rPr>
          <w:rFonts w:ascii="Arial;sans-serif" w:hAnsi="Arial;sans-serif"/>
          <w:b w:val="false"/>
          <w:color w:val="000000"/>
          <w:sz w:val="20"/>
        </w:rPr>
        <w:t>12 of the 28 (42.9%) were diagnosed 10-24 months after enrollment.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Seven of the 12 (58.3%) were diagnosed outside the original referral pathway; in those cases, the CSO also was correct, matching the site that was ultimately diagnosed.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83845"/>
                <wp:effectExtent l="0" t="0" r="0" b="0"/>
                <wp:wrapNone/>
                <wp:docPr id="38" name="Frame3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design of our SYMPLIFY study is summarized in the figure below:</w:t>
      </w:r>
    </w:p>
    <w:p>
      <w:pPr>
        <w:pStyle w:val="TextBody"/>
        <w:bidi w:val="0"/>
        <w:spacing w:before="240" w:after="283"/>
        <w:ind w:left="0" w:right="0" w:firstLine="450"/>
        <w:jc w:val="left"/>
        <w:rPr/>
      </w:pPr>
      <w:r>
        <w:rPr/>
        <w:drawing>
          <wp:inline distT="0" distB="0" distL="0" distR="0">
            <wp:extent cx="6115050" cy="2305050"/>
            <wp:effectExtent l="0" t="0" r="0" b="0"/>
            <wp:docPr id="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7" descr=""/>
                    <pic:cNvPicPr>
                      <a:picLocks noChangeAspect="1" noChangeArrowheads="1"/>
                    </pic:cNvPicPr>
                  </pic:nvPicPr>
                  <pic:blipFill>
                    <a:blip r:embed="rId8"/>
                    <a:stretch>
                      <a:fillRect/>
                    </a:stretch>
                  </pic:blipFill>
                  <pic:spPr bwMode="auto">
                    <a:xfrm>
                      <a:off x="0" y="0"/>
                      <a:ext cx="6115050" cy="2305050"/>
                    </a:xfrm>
                    <a:prstGeom prst="rect">
                      <a:avLst/>
                    </a:prstGeom>
                  </pic:spPr>
                </pic:pic>
              </a:graphicData>
            </a:graphic>
          </wp:inline>
        </w:drawing>
      </w:r>
      <w:bookmarkStart w:id="6" w:name="i-7"/>
      <w:bookmarkEnd w:id="6"/>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REACH</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REACH/Galleri-Medicare study is intended to evaluate the impact of Galleri in a population of Medicare beneficiaries. The study has a unique design where up to 50,000 participants will be enrolled and receive Galleri, up to three annual tests. A comparator arm of approximately 50,000 individuals matched for certain characteristics will be generated, and the rate of stage IV cancers will be compared between arms. Additional endpoints focus on performance, participant reported outcomes, and health care resource utilization. The study is being conducted under an investigational device exemption (IDE). Galleri screening tests are reimbursed by CMS. The study began enrolling in July 2024 and is ongoing.</w:t>
      </w:r>
    </w:p>
    <w:p>
      <w:pPr>
        <w:pStyle w:val="TextBody"/>
        <w:bidi w:val="0"/>
        <w:spacing w:before="240" w:after="283"/>
        <w:jc w:val="left"/>
        <w:rPr/>
      </w:pPr>
      <w:r>
        <w:rPr/>
        <w:drawing>
          <wp:inline distT="0" distB="0" distL="0" distR="0">
            <wp:extent cx="6400800" cy="3371850"/>
            <wp:effectExtent l="0" t="0" r="0" b="0"/>
            <wp:docPr id="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 descr=""/>
                    <pic:cNvPicPr>
                      <a:picLocks noChangeAspect="1" noChangeArrowheads="1"/>
                    </pic:cNvPicPr>
                  </pic:nvPicPr>
                  <pic:blipFill>
                    <a:blip r:embed="rId9"/>
                    <a:stretch>
                      <a:fillRect/>
                    </a:stretch>
                  </pic:blipFill>
                  <pic:spPr bwMode="auto">
                    <a:xfrm>
                      <a:off x="0" y="0"/>
                      <a:ext cx="6400800" cy="3371850"/>
                    </a:xfrm>
                    <a:prstGeom prst="rect">
                      <a:avLst/>
                    </a:prstGeom>
                  </pic:spPr>
                </pic:pic>
              </a:graphicData>
            </a:graphic>
          </wp:inline>
        </w:drawing>
      </w:r>
      <w:bookmarkStart w:id="7" w:name="i-8"/>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83845"/>
                <wp:effectExtent l="0" t="0" r="0" b="0"/>
                <wp:wrapNone/>
                <wp:docPr id="41" name="Frame3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Commercialization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Established Commercial Leadership in a Pre-Reimbursement Setting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launched Galleri in the United States in mid-2021. As of December 31, 2025, we have sold more than 475,000 commercial tests, including more than 185,000 tests in 2025 and established a number of commercial partnerships, including leading healthcare systems, employers, digital health platforms, payors, and life insurance providers. As of December 31, 2025, our commercial organization included approximately 250 personnel supporting our multi-channel strategy. We believe we currently have the largest share of the market for MCED testing, and we continue to build the key components of our commercial infrastructure and capabilities that are required to support rapid, population-scale testing in a post-reimbursement environment.</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Commercial Strategy in the United States is Focused on Innovative Value-oriented Partnerships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strong commercial adoption is underpinned by our ability to demonstrate clinical utility and economic value even before obtaining broad reimbursement coverage. We are driving adoption in the following key channels:</w:t>
      </w:r>
    </w:p>
    <w:p>
      <w:pPr>
        <w:pStyle w:val="TextBody"/>
        <w:bidi w:val="0"/>
        <w:spacing w:lineRule="auto" w:line="288" w:before="240" w:after="283"/>
        <w:ind w:left="0" w:right="0" w:firstLine="450"/>
        <w:jc w:val="left"/>
        <w:rPr/>
      </w:pPr>
      <w:r>
        <w:rPr>
          <w:rFonts w:ascii="Arial;sans-serif" w:hAnsi="Arial;sans-serif"/>
          <w:b w:val="false"/>
          <w:i/>
          <w:color w:val="000000"/>
          <w:sz w:val="20"/>
        </w:rPr>
        <w:t>Employers</w:t>
      </w:r>
      <w:r>
        <w:rPr>
          <w:rFonts w:ascii="Arial;sans-serif" w:hAnsi="Arial;sans-serif"/>
          <w:b w:val="false"/>
          <w:color w:val="000000"/>
          <w:sz w:val="20"/>
        </w:rPr>
        <w:t>. We target 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pStyle w:val="TextBody"/>
        <w:bidi w:val="0"/>
        <w:spacing w:lineRule="auto" w:line="288" w:before="240" w:after="283"/>
        <w:ind w:left="0" w:right="0" w:firstLine="450"/>
        <w:jc w:val="left"/>
        <w:rPr/>
      </w:pPr>
      <w:r>
        <w:rPr>
          <w:rFonts w:ascii="Arial;sans-serif" w:hAnsi="Arial;sans-serif"/>
          <w:b w:val="false"/>
          <w:i/>
          <w:color w:val="000000"/>
          <w:sz w:val="20"/>
        </w:rPr>
        <w:t>Physicians and Health Systems</w:t>
      </w:r>
      <w:r>
        <w:rPr>
          <w:rFonts w:ascii="Arial;sans-serif" w:hAnsi="Arial;sans-serif"/>
          <w:b w:val="false"/>
          <w:color w:val="000000"/>
          <w:sz w:val="20"/>
        </w:rPr>
        <w:t xml:space="preserve">. We believe Galleri is compelling to physicians whose patients are focused on preventive health and wellness as well as to concierge and executive health practices. The physician practices we are targeting are known to offer innovative, cutting-edge health offerings, and market research suggests patient’s expect innovative offerings from their primary care providers. We have evolved our sales strategy to target physicians in the most productive regions. We additionally partner with health systems, typically as part of a comprehensive screening program with patient and physician support 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 </w:t>
      </w:r>
    </w:p>
    <w:p>
      <w:pPr>
        <w:pStyle w:val="TextBody"/>
        <w:bidi w:val="0"/>
        <w:spacing w:lineRule="auto" w:line="288" w:before="240" w:after="283"/>
        <w:ind w:left="0" w:right="0" w:firstLine="450"/>
        <w:jc w:val="left"/>
        <w:rPr/>
      </w:pPr>
      <w:r>
        <w:rPr>
          <w:rFonts w:ascii="Arial;sans-serif" w:hAnsi="Arial;sans-serif"/>
          <w:b w:val="false"/>
          <w:i/>
          <w:color w:val="000000"/>
          <w:sz w:val="20"/>
        </w:rPr>
        <w:t>Payors</w:t>
      </w:r>
      <w:r>
        <w:rPr>
          <w:rFonts w:ascii="Arial;sans-serif" w:hAnsi="Arial;sans-serif"/>
          <w:b w:val="false"/>
          <w:color w:val="000000"/>
          <w:sz w:val="20"/>
        </w:rPr>
        <w:t>. We have announced pilot or benefit programs with leading payors and continue to engage with other progressive payors. These 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pStyle w:val="TextBody"/>
        <w:bidi w:val="0"/>
        <w:spacing w:lineRule="auto" w:line="288" w:before="240" w:after="283"/>
        <w:ind w:left="0" w:right="0" w:firstLine="450"/>
        <w:jc w:val="left"/>
        <w:rPr/>
      </w:pPr>
      <w:r>
        <w:rPr>
          <w:rFonts w:ascii="Arial;sans-serif" w:hAnsi="Arial;sans-serif"/>
          <w:b w:val="false"/>
          <w:i/>
          <w:color w:val="000000"/>
          <w:sz w:val="20"/>
        </w:rPr>
        <w:t>International Strategy</w:t>
      </w:r>
      <w:r>
        <w:rPr>
          <w:rFonts w:ascii="Arial;sans-serif" w:hAnsi="Arial;sans-serif"/>
          <w:b w:val="false"/>
          <w:color w:val="000000"/>
          <w:sz w:val="20"/>
        </w:rPr>
        <w:t>. We enable access to Galleri in various countries outside of the United States through a global network of local and regional partners. Our partners assist with blood draw, sample logistics, sales and marketing, and customer support to serve patients, providers, and insurers in their markets. Market entry through our partners is subject to regulatory clearance of the Galleri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83845"/>
                <wp:effectExtent l="0" t="0" r="0" b="0"/>
                <wp:wrapNone/>
                <wp:docPr id="42" name="Frame3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pPr>
      <w:r>
        <w:rPr>
          <w:rFonts w:ascii="Arial;sans-serif" w:hAnsi="Arial;sans-serif"/>
          <w:b w:val="false"/>
          <w:i/>
          <w:color w:val="000000"/>
          <w:sz w:val="20"/>
        </w:rPr>
        <w:t xml:space="preserve">Digital Health. </w:t>
      </w:r>
      <w:r>
        <w:rPr>
          <w:rFonts w:ascii="Arial;sans-serif" w:hAnsi="Arial;sans-serif"/>
          <w:b w:val="false"/>
          <w:color w:val="000000"/>
          <w:sz w:val="20"/>
        </w:rPr>
        <w:t xml:space="preserve">The Galleri test is offered by a number of digital health and telemedicine platforms that seek to provide consumer-facing healthcare products and services to cash paying patients, often anchored on a lab-based wellness and longevity offering. We believe these consumer platforms see Galleri as a complementary offering that supports their value proposition and enhances credibility with their members. These partners, with their focus and core competencies around member acquisition, engagement and retention, allow GRAIL to substantially (and cost-effectively) increase awareness and REACH of the Galleri test to a broader cohort of health seeking patients who can benefit from MCED screening. </w:t>
      </w:r>
    </w:p>
    <w:p>
      <w:pPr>
        <w:pStyle w:val="TextBody"/>
        <w:bidi w:val="0"/>
        <w:spacing w:lineRule="auto" w:line="288" w:before="240" w:after="283"/>
        <w:ind w:left="0" w:right="0" w:firstLine="450"/>
        <w:jc w:val="left"/>
        <w:rPr/>
      </w:pPr>
      <w:r>
        <w:rPr>
          <w:rFonts w:ascii="Arial;sans-serif" w:hAnsi="Arial;sans-serif"/>
          <w:b w:val="false"/>
          <w:i/>
          <w:color w:val="000000"/>
          <w:sz w:val="20"/>
        </w:rPr>
        <w:t>First Responders</w:t>
      </w:r>
      <w:r>
        <w:rPr>
          <w:rFonts w:ascii="Arial;sans-serif" w:hAnsi="Arial;sans-serif"/>
          <w:b w:val="false"/>
          <w:color w:val="000000"/>
          <w:sz w:val="20"/>
        </w:rPr>
        <w:t>. We have worked with clinics, fire departments, municipalities, and unions to make Galleri available to firefighters who generally have exposure-related increased risk of cancer and are actively screening their populations and seeking new approaches.</w:t>
      </w:r>
    </w:p>
    <w:p>
      <w:pPr>
        <w:pStyle w:val="TextBody"/>
        <w:bidi w:val="0"/>
        <w:spacing w:lineRule="auto" w:line="288" w:before="240" w:after="283"/>
        <w:ind w:left="0" w:right="0" w:firstLine="450"/>
        <w:jc w:val="left"/>
        <w:rPr/>
      </w:pPr>
      <w:r>
        <w:rPr>
          <w:rFonts w:ascii="Arial;sans-serif" w:hAnsi="Arial;sans-serif"/>
          <w:b w:val="false"/>
          <w:i/>
          <w:color w:val="000000"/>
          <w:sz w:val="20"/>
        </w:rPr>
        <w:t>Life insurance providers</w:t>
      </w:r>
      <w:r>
        <w:rPr>
          <w:rFonts w:ascii="Arial;sans-serif" w:hAnsi="Arial;sans-serif"/>
          <w:b w:val="false"/>
          <w:color w:val="000000"/>
          <w:sz w:val="20"/>
        </w:rPr>
        <w:t>. We have partnered with several leading life insurance providers to provide Galleri to their policyholders. Life 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we aim to use value-oriented partnerships, such as our integration with Quest to provide a simpler blood draw process and our planned integration with EPIC to simplify provider ordering, to help make Galleri even more accessible. We believe these partnerships can help Galleri be easily integrated into routine practice, where healthcare providers can order Galleri as part of an annual examination.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Reimbursement Landscape for Screening Tests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In February 2026, the Nancy Gardner Sewell Medicare MCED Coverage Act became law and created a Medicare coverage benefit category for multi-cancer early detection tests. The law included certain standards, including that Centers for Medicare and Medicaid Services (“CMS”) would establish coverage through a national coverage determination (“NCD”) process under “reasonable and necessary” evidentiary requirements. An NCD typically involves a multi-step review that can include evidence assessment by CMS staff, consultation with external technology assessment organizations, a Medicare Evidence Development &amp; Coverage Advisory Committee (MEDCAC) meeting, and opportunities for public comment. CMS may issue an NCD to provide coverage for MCED tests that are cleared under 510(k), classified under 513(f)(2) or approved by the FDA, with authority to initiate coverage as early as January 1, 2029, although any NCD may be delayed or be more restrictive than the full authority provided by statute. Coverage eligibility is phased in, with those aged 50-65 eligible under the law in 2029, expanding by one age-year annually. The payment rate for covered MCED tests would be in alignment with methodologies under the Protecting Access to Medicare Act (PAMA), which incorporates private market rates.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Galleri is currently offered as an LDT in our CAP-accredited and CLIA-certified laboratory. We have a Breakthrough Device designation with the FDA and, in January 2026, we submitted a PMA to the FDA. Nonetheless, no version of Galleri has been approved or cleared by the FDA and obtaining PMA approval can take several years, if at all, from the time the PMA was submitted. Galleri may not be approved on our expected timeline or at all.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Medicare Improvements for Patients and Providers Act of 2008 also authorizes CMS to cover additional preventive services that are not expressly covered by the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In its discretion, the USPSTF generally waits for FDA authorization before it considers undertaking reviews of novel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83845"/>
                <wp:effectExtent l="0" t="0" r="0" b="0"/>
                <wp:wrapNone/>
                <wp:docPr id="43" name="Frame3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Outside of the recently enacted MCED coverage category, another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 Even if we were to obtain CMS coverage through the new MCED test category, we expect to seek USPSTF recommendation because of its role in setting standard of care. Should USPSTF recommend Galleri for a more expansive population than what is covered under the MCED benefit category, CMS would then have the authority to expand coverage following a USPSTF A/B recommendation.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FDA approval is obtained, we plan to pursue broad reimbursement, for example, through Medicare reimbursement, and subsequently pursue inclusion of Galleri in the USPSTF guideline recommendation.</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United Kingdom—Commercial agreement with NHS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NHS will evaluate the final results from the NHS-Galleri Trial, for which we announced topline results in February 2026, alongside other factors before determining whether to implement the Galleri test in the NHS. We believe the decision may include, in addition to an evaluation of the final results, considerations such as NHS budget, political priorities, cost-effectiveness and implementation constraints. Under our agreement with the NHS, these results have met certain success criteria and missed others. As a result, we and NHS are required to establish a joint steering committee that will discuss how best to proceed with deployment to the UK population, if at all, considering deployment approaches and which population groups would most benefit. In the event that we proceed with commercial implementation following such results, we expect that our partnership with the NHS would be our first national system implementation. The NHS had previously evaluated results of an early analysis from the first screening test (the prevalent screening round) in the NHS-Galleri Trial to determine whether the results were compelling enough to commence an implementation pilot in England prior to the final trial results. The results of this early analysis represented limited information from only one year of results out of the three-year trial period, and final results from the full three-year period may differ from the early analysis for a variety of reasons. In May 2024, the NHS determined not to initiate the pilot on the basis of the available data. Given that the NHS has a reputation for high evidence standards for new technologies, we anticipate that NHS approval and implementation could expand adoption in the United Kingdom and could also help facilitate adoption in other single payor systems around the world. Our initial commercial version of the Galleri test is UKCA marked.</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Other International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December 2024, we launched Galleri in Israel in partnership with a distributor, although current geopolitical conflicts have impacted recent sales.We subsequently expanded into Canada with a partner in October 2025. Also in October 2025, we announced subject to final execution of definitive agreements, that we will work with Samsung C&amp;T as exclusive partners to commercialize the Galleri test in South Korea, with a possible extension into other Asian geographies, including Japan and Singapore. We intend to explore the launch of Galleri in select other international geographies, including through distributors.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83845"/>
                <wp:effectExtent l="0" t="0" r="0" b="0"/>
                <wp:wrapNone/>
                <wp:docPr id="44" name="Frame3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Operations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Significant Investments for Scale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made significant investments for scale in our CAP-accredited and CLIA-certified laboratory facility in Durham, North Carolina and demonstrated execution with more than 800,000 clinical and commercial individual samples processed from launch through December 31, 2025. We have an established footprint in the United States and the United Kingdom, with our headquarters in Menlo Park, California and operations in Durham, North Carolina, Washington, D.C., and London, United Kingdom.</w:t>
      </w:r>
    </w:p>
    <w:p>
      <w:pPr>
        <w:pStyle w:val="TextBody"/>
        <w:bidi w:val="0"/>
        <w:spacing w:lineRule="auto" w:line="288" w:before="240" w:after="283"/>
        <w:ind w:left="0" w:right="0" w:firstLine="450"/>
        <w:jc w:val="left"/>
        <w:rPr/>
      </w:pPr>
      <w:r>
        <w:rPr>
          <w:rFonts w:ascii="Arial;sans-serif" w:hAnsi="Arial;sans-serif"/>
          <w:b w:val="false"/>
          <w:color w:val="000000"/>
          <w:sz w:val="20"/>
        </w:rPr>
        <w:t>In total we have approximately</w:t>
      </w:r>
      <w:r>
        <w:rPr>
          <w:color w:val="000000"/>
          <w:shd w:fill="FFFFFF" w:val="clear"/>
        </w:rPr>
        <w:t xml:space="preserve"> </w:t>
      </w:r>
      <w:r>
        <w:rPr>
          <w:rFonts w:ascii="Arial;sans-serif" w:hAnsi="Arial;sans-serif"/>
          <w:b w:val="false"/>
          <w:color w:val="000000"/>
          <w:sz w:val="20"/>
          <w:shd w:fill="FFFFFF" w:val="clear"/>
        </w:rPr>
        <w:t>46,000 s</w:t>
      </w:r>
      <w:r>
        <w:rPr>
          <w:rFonts w:ascii="Arial;sans-serif" w:hAnsi="Arial;sans-serif"/>
          <w:b w:val="false"/>
          <w:color w:val="000000"/>
          <w:sz w:val="20"/>
        </w:rPr>
        <w:t>quare feet of CAP-accredited, CLIA-certified laboratory space with sufficient capacity to support multiple years of growth at our Durham facility. We have made significant investments to our Durham laboratory to improve the automation, including development of a fully automated laboratory testing platform consisting of robotic work cells connected by a central track system to increase efficiencies and reduce costs. We believe this scalable infrastructure is capable of meeting significant demand of up to one million tests per year. Our lab operates 16 hours a day, seven days a week, and uses automation and other technology to reduce staff exposure to complicated, dangerous, repetitive, or injury-prone work. In 2024, we also launched an updated version of Galleri increasing the amount of laboratory automation, among other improvements. In connection with implementation of this new version of Galleri, we have experienced and may continue to experience increased turnaround times, re-processing costs and sample failures. We continually monitor and evaluate laboratory operations and performance in an effort to achieve our intended sample processing metrics and costs; however from time to time, processing issues may arise that could impact our operations. In the future, it is possible that we may invest significant amounts in infrastructure to support new products or existing products in new markets. We believe that our current facilities are sufficient to meet our current and anticipated near-term needs.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Supply Chain and Agreements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sole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supply strategy is to maintain raw material and released reagent supplies at levels that ensure our clinical laboratory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supply chain consists of commodity materials, multi-source, single-source or sole-source materials, services or equipment. We consider critical suppliers to be those that can impact the quality of GRAIL’s product and/or our quality management system, those with consistent high volume or spend and those who are key to a specific business function.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Mitigation around our supply chain risks is critical to our business and we enable strategies that look across risk pertaining to single or sole-source; supplier financial stability, scalability, business continuity; performance and delivery consistency; quality system adherence; information security; and contract or cost maturity. GRAIL seeks to secure long-term supply agreements and quality agreements where applicable and maintains raw material and released reagent supplies at levels that ensure our clinical laboratory can maintain continuous operations 365 days a year. We employ a safety stock strategy at the part level, ensuring our materials are available, balanced against their shelf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83845"/>
                <wp:effectExtent l="0" t="0" r="0" b="0"/>
                <wp:wrapNone/>
                <wp:docPr id="45" name="Frame3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pPr>
      <w:r>
        <w:rPr>
          <w:rFonts w:ascii="Arial;sans-serif" w:hAnsi="Arial;sans-serif"/>
          <w:b w:val="false"/>
          <w:color w:val="000000"/>
          <w:sz w:val="20"/>
        </w:rPr>
        <w:t>GRAIL sole-source suppliers include Illumina, Inc. who is our sole supplier of sequencers and certain laboratory reagents, Madison Industries (“Madison”), who acquired our blood collection tube manufacturer Streck, Inc. in 2023 and who is our sole supplier of tubes used for sample collection, and Twist Biosciences Corporation (“Twist”) who is the sole supplier of our DNA probes. We rely on standard commercial carriers for the delivery of samples to our laboratory. We have entered into supply agreements with various parties, including Illumina, Madison, and Twist. In January 2016, we entered into a supply and commercialization arrangement with Illumina, which agreement was amended and restated in February 2017 and subsequently further amended (“Illumina Supply Agreement”). Pursuant to the Illumina Supply Agreement, Illumina granted us non-exclusive rights to use certain Illumina know-how and technology with Illumina products purchased under the agreement. Under the terms of the Illumina Supply Agreement, regardless of whether our products incorporate any Illumina technology, we will be obligated to pay Illumina a 9% royalty, subject to certain reductions and floors, in perpetuity on net sales generated by our products or revenues otherwise generated or received by us, subject to certain exceptions, in the field of oncology. The royalty is subject to anti-stacking provisions that allow royalty payments we make to other third parties to be deducted from the 9% royalty rate, to a floor of 7%. We expect that the third party royalty payments we will make in the foreseeable future will result in a 7% royalty rate. After we have cumulatively paid Illumina royalties totaling $1 billion, the royalty rate will be reduced to 5%, without further adjustment.- Pursuant to the fourth amendment to the Illumina Supply Agreement, the perpetual royalty payment obligation to Illumina is suspended until December 24, 2026 or any earlier change of control of GRAIL, at which time royalty payments to Illumina will resume without retroactive effect. Any royalty payments that we would have made under the Illumina Supply Agreement during the suspension period are deemed to have been paid for purposes of the cumulative $1 billion in royalty payments required to reduce the royalty rate to 5%. In addition, upon the execution of such amendment, we were permitted to elect to purchase instruments, supplies, and services from Illumina either pursuant to Illumina’s “Open Offer” universal pricing terms applicable to all of its for-profit oncology customers in the United States since March 2021, as updated, or the pricing terms we had prior to Illumina’s acquisition of us. The initial term of the Illumina Supply Agreement</w:t>
      </w:r>
      <w:r>
        <w:rPr>
          <w:color w:val="000000"/>
        </w:rPr>
        <w:t xml:space="preserve"> </w:t>
      </w:r>
      <w:r>
        <w:rPr>
          <w:rFonts w:ascii="Arial;sans-serif" w:hAnsi="Arial;sans-serif"/>
          <w:b w:val="false"/>
          <w:color w:val="000000"/>
          <w:sz w:val="20"/>
        </w:rPr>
        <w:t>is scheduled to expire on February 28, 2027. The Illumina Supply Agreement will automatically renew for two year terms unless we or Illumina provide written notice of non-renewal at least 120 days prior to the end of the then-current term. Our royalty obligations under the Illumina Supply Agreement will survive any termination. For further discussion of the risks relating to these relationships, see “Risk Factors—Risks Relating to Our Business and Industry</w:t>
      </w:r>
      <w:r>
        <w:rPr>
          <w:rFonts w:ascii="Arial;sans-serif" w:hAnsi="Arial;sans-serif"/>
          <w:b/>
          <w:color w:val="000000"/>
          <w:sz w:val="20"/>
        </w:rPr>
        <w: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Industry Participants</w:t>
      </w:r>
    </w:p>
    <w:p>
      <w:pPr>
        <w:pStyle w:val="TextBody"/>
        <w:bidi w:val="0"/>
        <w:spacing w:lineRule="auto" w:line="276"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There are market participants in the cancer detection space both in the United States and abroad, including Exact Sciences Corporation (recently announced to be acquired by Abbott Laboratories) and Guardant Health, Inc., who have each introduced MCED products into the market in 2025. A number of other companies, including Caris Life Sciences, Clearnote Health and Natera, Inc. in the United States and, Insighta, Mirxes and Seekin, Inc. outside of the United States, have announced intentions to develop or launch MCED products. In addition, companies, such as Adela, Inc., Clearnote Health, DELFI Diagnostics, Inc., Exai Bio, Inc., Freenome Inc., Guardant Health, Inc., Harbinger Health and Natera, Inc. within the United States and AnchorDx, Anpac Bio-Medical Science Co., Ltd., Burning Rock Biotech Limited, Datar Cancer Genetics, Elypta AB, Gene Solutions JSC, Insighta, Mirxes, Singlera Genomics, Inc. and Seekin, Inc. outside of the United States, among others, that are attempting to develop tests to detect certain types of cancer early, including some that will use cfDNA analyses, although these products are not necessarily MCED products. A number of these companies, including Natera, Inc. and Clearnote Health in the United States and, Insighta, Mirxes and Seekin, Inc. outside of the United States, have announced intentions to develop or launch multi-cancer early detection products. Some of these companies may have substantially greater financial and other resources than we have, such as larger research and development staff and well-established marketing and sales forces, or may operate in jurisdictions where lower standards of evidence are required to bring products to market.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83845"/>
                <wp:effectExtent l="0" t="0" r="0" b="0"/>
                <wp:wrapNone/>
                <wp:docPr id="46" name="Frame3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laboratory, which we built for rapid, automatic processing of samples and to scale as we grow and process more tests.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Additionally, certain of our other products in development and our precision oncology offerings, could compete against a number of companies that are working to leverage blood-based technologies to improve cancer care. Many companies such as Roche/Foundation Medicine, Inc., Natera, Inc., Guardant, Inc., Tempus AI, Inc., Clearnote Health,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our precision oncology portfolio leverages our methylation platform, we believe we are differentiated by the extent of the quality of our methylation platform and our investments to develop such platform through our population-scale clinical studies, rigorous analytics and machine learning expertise.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compositions,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we own or co-own more than 221 issued or granted patents, including 55 issued U.S. patents and 166 patents granted across Austria, Australia, Belgium, Canada, Switzerland, China, Czech Republic, Denmark, Germany, Europe, Finland, France, the United Kingdom, Greece, Hong Kong, Indonesia, Ireland, Italy, Japan, Lichtenstein, Lithuania, Luxembourg, Malaysia, Netherlands, Norway, Poland, Portugal, Sweden, Spain, Singapore, Slovenia, Slovakia, Türkiye and Taiwan. We also own or co-own more than 325 pending patent applications globally, including more than 132 pending U.S. non-provisional and provisional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83845"/>
                <wp:effectExtent l="0" t="0" r="0" b="0"/>
                <wp:wrapNone/>
                <wp:docPr id="47" name="Frame3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have exclusive licenses to approximately 408 issued or granted patents, including 55 issued U.S. patents and 353 patents granted across Australia, Brazil, Canada, China, Eurasia, Europe (including national patents and Unitary Patents covering Albania, Austria, Belgium, Bulgaria, Cyprus, Czech Republic, Germany, Denmark, Estonia, Spain, Finland, France, the United Kingdom, Greece, Croatia, Hungary, Ireland, Iceland, Italy, Lithuania, Luxembourg, Latvia, Monaco, North Macedonia, Malta, Netherlands, Norway, Poland, Portugal, Romania, Serbia, Switzerland, Sweden, Slovenia, Slovakia, San Marino, and Türkiye), Hong Kong, Indonesia, Israel, India, Japan, Republic of Korea, Macao, Mexico, Malaysia, New Zealand, Philippines, Singapore, Taiwan, and South Africa; and more than 79 pending patent applications globally, including more than 35 pending U.S. non-provisional and provisional patent applications. We believe these patents cover, and that these patent applications upon grant will cover, various aspects of Galleri, our precision oncology portfolio and future products or improvements to existing products that we may develop.</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Of particular importance within our sizable patent portfolio are patents that relate to various aspects of Galleri and our precision oncology portfolio. For example: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with respect to methylation analysis, which is a foundational technology underlying our current products, we own or exclusively license 156 issued or granted patents worldwide directed to systems, software, methods, compositions, mixtures, or kits for methylation analysis. These patents are expected to expire between 2033 and 2043, subject to our payment of applicable maintenance fees and annuities;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with respect to our technology for determining cancer type through identification of cancer signal of origin, we own or exclusively license 75 issued or granted patents worldwide directed to systems, software, methods, or kits for determining cancer signal of origin. These patents are expected to expire between 2035 and 2041, subject to our payment of applicable maintenance fees and annuities;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with respect to our assay chemistry and techniques for preparing and optimizing patient samples for analysis, we own or exclusively license 60 granted or issued patents worldwide directed to methods, assay panels, compositions, or software for assay chemistry and techniques. These patents are expected to expire between 2037 and 2040, subject to our payment of applicable maintenance fees and annuities.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patent portfolio also includes 337 granted or issued patents worldwide, directed to other technologies that relate to our current and future products, including, for example: systems, methods, kits, mixtures, and probes for sequencing, library preparation and enrichment; methods and nucleic acid constructs for error correction for identifying somatic variants; systems and methods for variant based assessment of cancer; systems, software, and methods for sequencing based assessment of copy number aberrations in cancer; systems, software, methods, and compositions for fragmentation based assessment of cancer; and systems, software, and methods for viral based assessment of cancer. These patents are expected to expire between 2027 and 2042, subject to our payment of applicable maintenance fees and annuities.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expiration dates described above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 We continually assess and prioritize our patent portfolio based on its relevance to our business, while also pursuing new patent filings and grants, which may cause our total number of patents to change over time.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in-licensed patents and patent applications, if issued as patents, expire or would be expected to expire, at the earliest, in 2027, absent any potentially available patent term adjustment and assuming our timely payment of applicable issue fees, maintenance fees and annuities. We do not expect the scheduled expiration of patents in the near term to have a material impact on our business.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83845"/>
                <wp:effectExtent l="0" t="0" r="0" b="0"/>
                <wp:wrapNone/>
                <wp:docPr id="48" name="Frame4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previously faced an opposition from anonymous challengers against one of our in-licensed European patents. The patent does not relate to aspects of Galleri or our precision oncology portfolio. The challengers asserted that this granted patent was invalid over prior art, among other arguments. The opposition concluded with the patent claims being maintained in amended form. The challengers have filed an appeal, which is currently pending. Two additional oppositions have been recently filed by anonymous opponents in connection with another two of our in-licensed European patents relating to Galleri, and these oppositions are currently pending. While we believe that these patents are valid, there is a risk that these patents could be invalidated in their entirety, or certain claims of these patents could be amended and narrowed in scope.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License Agreements with the Chinese University of Hong Kong</w:t>
      </w:r>
    </w:p>
    <w:p>
      <w:pPr>
        <w:pStyle w:val="TextBody"/>
        <w:bidi w:val="0"/>
        <w:spacing w:lineRule="auto" w:line="288" w:before="240" w:after="283"/>
        <w:ind w:left="0" w:right="0" w:firstLine="450"/>
        <w:jc w:val="left"/>
        <w:rPr/>
      </w:pPr>
      <w:r>
        <w:rPr>
          <w:rFonts w:ascii="Arial;sans-serif" w:hAnsi="Arial;sans-serif"/>
          <w:b w:val="false"/>
          <w:color w:val="000000"/>
          <w:sz w:val="20"/>
        </w:rPr>
        <w:t>We have entered into</w:t>
      </w:r>
      <w:r>
        <w:rPr>
          <w:color w:val="000000"/>
          <w:shd w:fill="FFFFFF" w:val="clear"/>
        </w:rPr>
        <w:t xml:space="preserve"> </w:t>
      </w:r>
      <w:r>
        <w:rPr>
          <w:rFonts w:ascii="Arial;sans-serif" w:hAnsi="Arial;sans-serif"/>
          <w:b w:val="false"/>
          <w:color w:val="000000"/>
          <w:sz w:val="20"/>
          <w:shd w:fill="FFFFFF" w:val="clear"/>
        </w:rPr>
        <w:t>five lic</w:t>
      </w:r>
      <w:r>
        <w:rPr>
          <w:rFonts w:ascii="Arial;sans-serif" w:hAnsi="Arial;sans-serif"/>
          <w:b w:val="false"/>
          <w:color w:val="000000"/>
          <w:sz w:val="20"/>
        </w:rPr>
        <w:t>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 We have also entered into certain additional licenses with the Chinese University of Hong Kong on substantially similar terms covering additional patents.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To the extent our products use the licensed technology, such as our current Galleri and precision oncology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83845"/>
                <wp:effectExtent l="0" t="0" r="0" b="0"/>
                <wp:wrapNone/>
                <wp:docPr id="49" name="Frame4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Trade Secrets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rely on trade secret protection for our confidential and proprietary information. Included in our trade secrets are various aspects of the operation of our assay and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further discussion of the risks relating to our intellectual property, see “Risk Factors—Risks Relating to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Seasonal fluctuations and underlying business trends have also affected, and are likely to continue to affect, our business. We may experience this seasonality, in particular in the third quarter due to primary care physician and patient summer vacation periods, with relatively lower volume in the first and third quarters, and relatively higher volume in the second and fourth quarters. These seasonal trends have caused, and will likely continue to cause, fluctuations in our quarterly results, including fluctuations in sequential revenue growth rates.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Since our founding, we have built an entrepreneurial culture, driven by our mission to detect cancer early, when it can be cured. This mission statement is an expression of our commitment to improve cancer care and drive better outcomes for patients with cancer.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recognize that our employees are key to our ability to achieve this mission and believe our employees have been and will continue to be a primary reason for our growth and success. Recognizing the importance of our human capital, our board of directors retains oversight and reviews strategies related to human capital management, including compensation, rewards and employee engagement.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Employee Base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workforce consists of a highly skilled and engaged team dedicated to the company’s mission and goals. As of December 31, 2025, we had approximately 910 full-time employees. The majority of our employees are based in the United States at our sites in Menlo Park, California, Durham, North Carolina, and Washington D.C., along with our commercial team and other remote employees located throughout the US. We also have an office in London, UK. None of our employees are represented by a labor union or covered by a collective bargaining agreement. We consider our relationship with our employees to be good. Additionally, we engage with contractors, vendors, and consultants.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Our Corporate Culture: Building and Supporting our Team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understand the commitment our employees make to our company, and we take our commitment to them very seriously. We are committed to fostering a workplace where all employees feel valued, supported, and empowered to contribute. We believe that varying perspectives drive innovation and strengthen our ability to achieve our 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83845"/>
                <wp:effectExtent l="0" t="0" r="0" b="0"/>
                <wp:wrapNone/>
                <wp:docPr id="50" name="Frame4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culture is built on collaboration, respect, and continuous learning, ensuring that all team members can thrive. We strongly believe our corporate culture is the operating system that powers the company and helps to achieve our mission. Our values include;</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rPr>
        <w:t>Embrace Change</w:t>
      </w:r>
      <w:r>
        <w:rPr>
          <w:color w:val="000000"/>
        </w:rPr>
        <w:t>—</w:t>
      </w:r>
      <w:r>
        <w:rPr>
          <w:rFonts w:ascii="Arial;sans-serif" w:hAnsi="Arial;sans-serif"/>
          <w:b w:val="false"/>
          <w:color w:val="000000"/>
          <w:sz w:val="20"/>
        </w:rPr>
        <w:t>We operate in a dynamic environment. We need to mirror the external world and be agile, adaptive, and able to adjust course to move in the direction required.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rPr>
        <w:t>Solve Problems Together</w:t>
      </w:r>
      <w:r>
        <w:rPr>
          <w:color w:val="000000"/>
        </w:rPr>
        <w:t>—</w:t>
      </w:r>
      <w:r>
        <w:rPr>
          <w:rFonts w:ascii="Arial;sans-serif" w:hAnsi="Arial;sans-serif"/>
          <w:b w:val="false"/>
          <w:color w:val="000000"/>
          <w:sz w:val="20"/>
        </w:rPr>
        <w:t>Working together allows us to take on increasingly complex problems.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rPr>
        <w:t>Think BIG</w:t>
      </w:r>
      <w:r>
        <w:rPr>
          <w:color w:val="000000"/>
        </w:rPr>
        <w:t>—</w:t>
      </w:r>
      <w:r>
        <w:rPr>
          <w:rFonts w:ascii="Arial;sans-serif" w:hAnsi="Arial;sans-serif"/>
          <w:b w:val="false"/>
          <w:color w:val="000000"/>
          <w:sz w:val="20"/>
        </w:rPr>
        <w:t>We are leading BIG changes that require a long runway, and we’ll succeed by keeping our mission in sight as we work toward long-term goals.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rPr>
        <w:t>Be Courageous</w:t>
      </w:r>
      <w:r>
        <w:rPr>
          <w:color w:val="000000"/>
        </w:rPr>
        <w:t>—</w:t>
      </w:r>
      <w:r>
        <w:rPr>
          <w:rFonts w:ascii="Arial;sans-serif" w:hAnsi="Arial;sans-serif"/>
          <w:b w:val="false"/>
          <w:color w:val="000000"/>
          <w:sz w:val="20"/>
        </w:rPr>
        <w:t>We are going up against entrenched ways of thinking, which requires boldness, determination, and courage.</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rPr>
        <w:t>Bring an Open Mind</w:t>
      </w:r>
      <w:r>
        <w:rPr>
          <w:color w:val="000000"/>
        </w:rPr>
        <w:t>—</w:t>
      </w:r>
      <w:r>
        <w:rPr>
          <w:rFonts w:ascii="Arial;sans-serif" w:hAnsi="Arial;sans-serif"/>
          <w:b w:val="false"/>
          <w:color w:val="000000"/>
          <w:sz w:val="20"/>
        </w:rPr>
        <w:t>We seek to improve cancer care, which requires engaging everyone in a conversation around what’s needed, what’s possible, and how to approach problems in different ways with creative thinking. We’re open-minded, curious, and always learning.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These values are the cornerstone of our corporate culture, shaping how we interact with one another and our customers. These values are embedded in our recruiting practices, performance management and reward programs.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Compensating and Supporting Our Colleagues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committed to providing equitable compensation opportunities to attract and retain accountable, team-oriented, high-performing colleagues, with the goal of advancing our mission. We consider both external market data and internal parity considerations when making compensation decisions, using data-informed actions to build competitive programs. To incentivize top performance, we aim to differentiate pay increases and incentive awards in recognition of colleague contributions aligned to the success of the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take a holistic approach to supporting employee well-being by providing eligible colleagues and their eligible dependents with competitive health and wellness benefits, retirement savings plans, and work-life options designed to promote flexibility and support their overall well-being. We also offer paid time off and other benefits to support a healthy work-life harmony.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Commitment to Learning and Development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that the professional development of our employees is a critical element to the success of our company. We have invested in a learning and development program that provides employees at all levels of the company opportunities to build and grow their skills in their current roles and prepare them for future roles in the company.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We've both internally developed and thoughtfully sourced learning and development programs for all employees. Employees have access to a wide variety of online training programs, individual coaching programs for selected leaders, and mentoring programs. In addition, we offer leadership training, designed to build strong leaders who inspire our teams to achieve our corporate goals.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Government Regulations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83845"/>
                <wp:effectExtent l="0" t="0" r="0" b="0"/>
                <wp:wrapNone/>
                <wp:docPr id="51" name="Frame4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had historically exercised enforcement discretion and not enforced certain potentially applicable provisions of the FDC Act and regulations with respect to LDTs. However, following the FDA’s September 2025 withdrawal of a final rule that intended to make explicit that in vitro diagnostic products are devices under the FDC Act, including when the manufacturer of the IVD is a laboratory, the scope of FDA’s authority to regulate LDTs remains unclear.</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U.S. Regulation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Clinical Laboratory Improvement Amendments of 1988 (CLIA)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required to obtain and hold certain federal and state licenses, certificates, permits and accreditations to offer our products in the United States through our laboratory in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 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a CLIA Certificate of Accreditation from the CMS and an accreditation from CAP for our Durham, North Carolina laboratory, and a Clinical Laboratory Certificate of Deemed Status from the State of 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a review of the laboratory’s analytical validation of any LDTs performed by the laboratory.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83845"/>
                <wp:effectExtent l="0" t="0" r="0" b="0"/>
                <wp:wrapNone/>
                <wp:docPr id="52" name="Frame4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State Licensing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NYSDoH also mandates proficiency testing for laboratories granted a permit under New York State law, regardless of whether or not such laboratories are located in New York. We have obtained NYSDoH Clinical Laboratory Evaluation Program (NYSDOH CLEP) approval for the updated commercial version of our Galleri launched in the fourth quarter of 2024. Clinical laboratory licensing laws in certain states, however, do not apply to laboratories operated for research purposes that do not return patient-specific results for the purpose of diagnosis or treatment.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Non-compliance with state laboratory licensure requirements may cause the state agency to suspend, restrict, or revoke a license to operate the clinical laboratory, disapprove a licensure application, assess 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 Food and Drug Administration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States, laboratory tests, such as Galleri,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Laboratory Developed Tests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Under the FDA’s regulatory framework, in vitro diagnostic devices (“IVDs”), such as Galleri, are a type of medical device, including tests, which can be used in the diagnosis or detection of diseases, such as cancer, or other conditions. The FDA has historically considered LDTs to be a subset of IVDs that are intended for clinical use and are designed, manufactured, and used within a single laboratory. Although the FDA has statutory authority to assure that medical devices, including IVDs, are safe and effective for their intended uses, until recently the FDA had historically exercised its enforcement discretion pursuant to which it did not seek to enforce certain otherwise potentially applicable provisions of the FDC Act and regulations with respect to LDTs, with certain exceptions. Even under that enforcement discretion policy, the FDA has issued warning letters to and safety communications about in vitro diagnostic device manufacturers for commercializing laboratory tests that were purported to be LDTs but that the FDA alleged failed to meet the definition of an LDT or otherwise were not subject to the FDA’s prior enforcement discretion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83845"/>
                <wp:effectExtent l="0" t="0" r="0" b="0"/>
                <wp:wrapNone/>
                <wp:docPr id="53" name="Frame4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FDA had, for a number of years, stated its intention to modify this historical enforcement discretion policy with respect to LDTs and impose applicable medical device requirements to LDTs more broadly. Recently, the FDA issued a final rule in an effort to clarify the FDA’s historical view that LDTs are medical devices subject to the requirements applicable to other IVDs. However, on March 31, 2025, the United States District Court for the Eastern District of Texas vacated this final rule and remanded the matter to the FDA for further consideration. The FDA did not appeal the ruling within the required timeline, and in September 2025, the FDA officially rescinded this final rule.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Accordingly, it remains uncertain whether or when the FDA may be able to exercise medical device authority with respect to these tests, including any LDTs for which a sponsor may plan to obtain a PMA. In addition, Congress has, for over the past decade, considered a number of proposals, which if enacted, could subject LDTs to additional regulatory requirements. As a result, the FDA’s oversight with respect to LDT products remains subject to significant uncertainty.</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PMA Pathway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Management System Regulation (“QMSR”)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legally marketed device that was cleared through the 510(k) process.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QMSR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de novo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83845"/>
                <wp:effectExtent l="0" t="0" r="0" b="0"/>
                <wp:wrapNone/>
                <wp:docPr id="54" name="Frame4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Investigational Device Exemption Process. Clinical trials are almost always required to support a PMA and are sometimes required to support PMA supplements.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83845"/>
                <wp:effectExtent l="0" t="0" r="0" b="0"/>
                <wp:wrapNone/>
                <wp:docPr id="55" name="Frame4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Expedited Development and Review Programs. The FDA has established programs to support and expedite the development of devices that meet 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w:t>
      </w:r>
    </w:p>
    <w:p>
      <w:pPr>
        <w:pStyle w:val="TextBody"/>
        <w:bidi w:val="0"/>
        <w:spacing w:lineRule="auto" w:line="288" w:before="240" w:after="283"/>
        <w:ind w:left="0" w:right="0" w:firstLine="450"/>
        <w:jc w:val="left"/>
        <w:rPr/>
      </w:pPr>
      <w:r>
        <w:rPr>
          <w:rFonts w:ascii="Arial;sans-serif" w:hAnsi="Arial;sans-serif"/>
          <w:b w:val="false"/>
          <w:i/>
          <w:color w:val="000000"/>
          <w:sz w:val="20"/>
        </w:rPr>
        <w:t>Postmarket Regulation</w:t>
      </w:r>
      <w:r>
        <w:rPr>
          <w:rFonts w:ascii="Arial;sans-serif" w:hAnsi="Arial;sans-serif"/>
          <w:b w:val="false"/>
          <w:color w:val="000000"/>
          <w:sz w:val="20"/>
        </w:rPr>
        <w:t>. After a device is cleared or approved by the FDA for marketing, numerous and pervasive regulatory requirements continue to apply. These include: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establishment registration and device listing with the FDA;</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QMSR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labeling regulations and FDA prohibitions against the promotion of “off-label” uses of cleared or approved products;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requirements related to promotional activities;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approval of certain modifications to PMA approved devices and their manufacturing processes;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complying with the laws and regulations requiring Unique Device Identifiers on devices and also requiring the submission of certain information about each device to the FDA’s Global Unique Device Identification Database;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post-market surveillance activities and regulations, which apply when deemed by the FDA to be necessary to protect the public health or to provide additional safety and effectiveness data for the device.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83845"/>
                <wp:effectExtent l="0" t="0" r="0" b="0"/>
                <wp:wrapNone/>
                <wp:docPr id="56" name="Frame4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Device manufacturing processes subject to FDA oversight are required to comply with the applicable portions of the QMSR, which cover the methods and the facilities and controls for the design, manufacture, testing, production, processes, controls, quality assurance, labeling, packaging, distribution, installation, and servicing of finished devices intended for human use. The QMSR also requires, among other things, maintenance of a medical device file and complaint files. Manufacturers are subject to periodic scheduled or unscheduled inspections by the FDA. A failure to maintain compliance with the QMSR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approval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FDA Enforcement Powers. The FDA has broad regulatory compliance and enforcement powers. If the FDA determines that a manufacturer has failed to comply with applicable regulatory requirements, it can take a variety of compliance or enforcement actions, including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issuance of warning letters, untitled letters, fines, injunctions, consent decrees and civil penalties;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requesting or requiring recalls, withdrawals, or administrative detention or seizure of our products;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imposing operating restrictions or partial suspension or total shutdown of production;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refusing or delaying requests for marketing authorization of new products or modified products;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withdrawing marketing authorizations that have already been granted;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refusal to grant export approvals for our products; or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criminal prosecution.</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Federal and State Physician Self-Referral Prohibitions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are set out in writing and signed by the parties. These prohibitions apply regardless of the reasons for the financial relationship and the referral. The Stark Law is a strict liability statute, and thus no finding of intent is required for a violation.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Sanctions for a violation of the Stark Law include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denial of payment for the services provided in violation of the prohibition;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refunds of amounts collected by an entity in violation of the Stark Law;</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monetary penalties;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exclusion from federal healthcare programs, including Medicare and Medicaid.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violations of the Stark Law may also serve as the basis for liability under the Federal False Claims Act, which prohibits knowingly presenting, or causing to be presented, a false or fraudulent claim for payment to the federal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83845"/>
                <wp:effectExtent l="0" t="0" r="0" b="0"/>
                <wp:wrapNone/>
                <wp:docPr id="57" name="Frame4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 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Healthcare Fraud and Abuse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business operations, including any relationship we may form with physicians, healthcare providers or other potential customers or business partners, must comply with various healthcare fraud and abuse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83845"/>
                <wp:effectExtent l="0" t="0" r="0" b="0"/>
                <wp:wrapNone/>
                <wp:docPr id="58" name="Frame5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other healthcare fraud and abuse laws could have an effect on our business. For example,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Similar foreign laws and regulations may apply to us if we offer our products in foreign jurisdictions in the future.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Transparency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83845"/>
                <wp:effectExtent l="0" t="0" r="0" b="0"/>
                <wp:wrapNone/>
                <wp:docPr id="59" name="Frame5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Additional International Regulation and Product Approval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Foreign Regulation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Medical devices (including IVDs) are subject to extensive regulation, such as premarket review, marketing authorization or certification, by similar agencies or notified bodies in other countries. Regulatory requirements and approval or certification processes are not harmonized and vary from one country to another. International regulators and notified bodies are independent and not bound by the findings of the FDA.</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Regulation of In Vitro Diagnostic Medical Devices in the European Union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“progressive” roll-out of the EU IVDR was adopted and subsequently extended following the adoption of several regulations. It provides for a tiered grace period for most devices depending on the risk classification of the device. Galleri currently benefits from the grace period applicable to Class C IVDs, and therefore must only be fully compliant with the EU IVDR requirements by December 31, 2028 subject to compliance with the transitional provisions.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by the end of the transitional period at the latest.</w:t>
      </w:r>
    </w:p>
    <w:p>
      <w:pPr>
        <w:pStyle w:val="TextBody"/>
        <w:bidi w:val="0"/>
        <w:spacing w:lineRule="auto" w:line="288" w:before="240" w:after="283"/>
        <w:ind w:left="0" w:right="0" w:firstLine="450"/>
        <w:jc w:val="left"/>
        <w:rPr>
          <w:rFonts w:ascii="Arial;sans-serif" w:hAnsi="Arial;sans-serif"/>
          <w:b w:val="false"/>
          <w:color w:val="000000"/>
          <w:sz w:val="20"/>
          <w:u w:val="single"/>
        </w:rPr>
      </w:pPr>
      <w:r>
        <w:rPr>
          <w:rFonts w:ascii="Arial;sans-serif" w:hAnsi="Arial;sans-serif"/>
          <w:b w:val="false"/>
          <w:color w:val="000000"/>
          <w:sz w:val="20"/>
          <w:u w:val="single"/>
        </w:rPr>
        <w:t xml:space="preserve">In Vitro Diagnostic Medical Devices Directive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83845"/>
                <wp:effectExtent l="0" t="0" r="0" b="0"/>
                <wp:wrapNone/>
                <wp:docPr id="60" name="Frame5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u w:val="single"/>
        </w:rPr>
      </w:pPr>
      <w:r>
        <w:rPr>
          <w:rFonts w:ascii="Arial;sans-serif" w:hAnsi="Arial;sans-serif"/>
          <w:b w:val="false"/>
          <w:color w:val="000000"/>
          <w:sz w:val="20"/>
          <w:u w:val="single"/>
        </w:rPr>
        <w:t xml:space="preserve">In Vitro Diagnostic Medical Devices Regulation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manufacturers must comply with a number of new or reinforced requirements set forth in the EU IVDR, in particular the obligations described below.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aforementioned EU rules are generally applicable in the European Economic Area (“EEA”), which consists of the 27 EU member states plus Norway, Liechtenstein, and Iceland, and also generally applicable in Türkiye.</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Regulations Related to Clinical Laboratories in the European Union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aforementioned EU rules are generally applicable in the EEA.</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Regulation of In Vitro Diagnostic Medical Devices in the United Kingdom</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83845"/>
                <wp:effectExtent l="0" t="0" r="0" b="0"/>
                <wp:wrapNone/>
                <wp:docPr id="61" name="Frame5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Under the powers granted by the Medicines and Medical Devices Act 2021, on December 16, 2024, the UK government passed an amendment to the UK MDR to clarify and strengthen the post-market surveillance requirements for medical devices in Great Britain. This amendment became applicable on June, 16 2025 and aims to facilitate greater traceability of incidents and trends enabling the MHRA to act swiftly when needed to address safety issues and support the entire health system in better protecting patients. In addition, the MHRA launched a consultation from November 14, 2024 to January 5, 2025 on proposed changes to the pre-market requirements for medical devices in Great Britain. On July 22, 2025, the MHRA published a response to the consultation confirming that it will incorporate feedback to this consultation in drafting new UK legislation on pre-market requirements for medical devices in Great Britain. A draft of the new legislation is expected to be published in 2026 and aims to enable greater international collaboration and practices, with more patient-centered, proportionate requirements for medical devices which are responsive to technological advances.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Under the UK MDR, in order to be lawfully placed on the Great Britain market, class A (non-sterile) IVDs need to be “UKCA” self certified, and other IVDs need to be “UKCA” certified by a UK approved body. However, certain IVDs in compliance with (a) the EU IVDD can continue to be placed on the Great Britain market until the sooner of certificate expiration or June 30, 2030; and (b) the EU IVDR can continue to be placed on the Great Britain market until June 30, 2030.</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Coverage and Reimbursement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pursuing payment for our products through a diverse and broad range of channels, including sales to integrated health systems, self-insured employers, digital health platforms, healthcare providers, life insurance companies, and patients, as well as, where available, through coverage and reimbursement by government healthcare programs and commercial third-party payors.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Generally, Medicare will not cover screening tests, which are considered preventive services, that are performed in the absence of signs or symptoms of illness or injury, except if explicitly authorized by statute. In February 2026, the Nancy Gardner Sewell Medicare MCED Coverage Act became law and created a statutory Medicare coverage benefit category for multi-cancer early detection tests. The law included certain standards, including that CMS, the agency responsible for administering the Medicare program, would establish coverage through a national coverage determination (“NCD”) process under “reasonable and necessary” evidentiary requirements. An NCD typically involves a multi-step review that can include evidence assessment by CMS staff, consultation with external technology assessment organizations, a Medicare Evidence Development &amp; Coverage Advisory Committee (MEDCAC) meeting, and opportunities for public comment. Medicare may issue an NCD to provide coverage for MCED tests that are cleared under 510(k), classified under 513(f)(2) or approved by the FDA, with authority to initiate coverage as early as January 1, 2029, although any NCD may be delayed or be more restrictive than the full authority provided by statute. Coverage eligibility is phased in, with those aged 50-65 eligible under the law in 2029, expanding by one age-year annually. We are seeking FDA approval for Galleri, and in January 2026, we submitted a PMA to the FDA. If we receive FDA approval for Galleri, Galleri would be eligible for coverage under this new statute, subject to the NCD by CMS. Nonetheless, no version of Galleri has been approved or cleared by the FDA and obtaining PMA approval can take several years, if at all, from the time the PMA was submitted. Galleri may not be approved on our expected timeline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83845"/>
                <wp:effectExtent l="0" t="0" r="0" b="0"/>
                <wp:wrapNone/>
                <wp:docPr id="62" name="Frame5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Beyond this new statute, CMS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Galleri could be considered a screening test under Medicare and, accordingly, is unlikely to be covered by Medicare without pursuing the CMS NCD-related measures described above for MCED tests or for other screening under additional preventative services. These processes may take multiple years to complete as currently, coverage decisions for preventive services are not made prior to FDA authorization. Even if we pursue these processes, it is possible that Galleri will never become eligible for Medicare coverage and reimbursement, and under the new MCED coverage benefit category, the coverage would only apply to a relatively small portion of the overall Medicare population due to the age restriction and annual phase in requirement. Accordingly, we expect to pursue inclusion in the USPSTF guidelines even if we receive initial coverage under the new statute to enable a broader CMS NCD.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is paid based on an actual list charge for an initial period of three quarters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83845"/>
                <wp:effectExtent l="0" t="0" r="0" b="0"/>
                <wp:wrapNone/>
                <wp:docPr id="63" name="Frame5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revised reimbursement methodology described above generally results in relatively lower reimbursement amounts under Medicare for clinical laboratory services than has been historically reimbursed. Any reductions to reimbursement rates resulting from the new methodology are limited to 0% through January 30, 2026 and 15% per test per year from January 31, of 2026 through 2028.</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General Coverage and Reimbursement Considerations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marketability of Galleri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83845"/>
                <wp:effectExtent l="0" t="0" r="0" b="0"/>
                <wp:wrapNone/>
                <wp:docPr id="64" name="Frame5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Healthcare Reform</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implementation of the ACA in the United States,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tests could adversely affect our revenue and commercial prospects.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EU, on December 13, 2021, Regulation No 2021/2282 on Health Technology Assessment (“HTA”) amending Directive 2011/24/EU, was adopted. The Regulation entered into force in January 2022 and has been applicable since January 2025, with phased implementation based on the type of product (i.e., certain high-risk medical devices as of 2026). The Regulation intends to boost cooperation among EU member states in assessing health technologies, including certain high-risk medical devices and provides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3845"/>
                <wp:effectExtent l="0" t="0" r="0" b="0"/>
                <wp:wrapNone/>
                <wp:docPr id="65" name="Frame5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Data Privacy and Cybersecurity Regulation</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Data Privacy and Cybersecurity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Numerous state, federal and international laws, regulations and standards govern the collection, use, access to, disclosure,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international laws govern the privacy and security of personal data, including health-related data, including but not limited to the EU General Data Protection Regulation (“EU GDPR”) and UK General Data Protection Regulation (“UK GDPR”) (EU GDPR and UK GDPR, together, “GDPR”). Privacy and security laws, regulations, and other obligations are constantly evolving, may conflict with each other to complicate compliance efforts, and failure to comply can result in investigations, proceedings, or actions that lead to significant civil and/or criminal penalties, restrictions on data processing and reputational damage. For additional information, see Part I, Item 1A. “Risk Factors” of this Annual Report on Form 10-K.</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The Spin-Off</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Illumina acquired the common stock of GRAIL that it did not own and completed its acquisition of GRAIL on August 18, 2021 (the “Acquisition”). The Acquisition was subject to various legal challenges, including by the U.S. Federal Trade Commission and the European Commission. These proceedings spanned more than three years and resulted in several orders, including hold-separate arrangements imposed by the European Commission. Following the European Commission’s decision on October 12, 2023 ordering Illumina to divest GRAIL, Illumina completed the divestiture via a Spin-Off on June 24, 2024 (the “Distribution Date”).</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Immediately prior to the Distribution Date, GRAIL, LLC was converted into a Delaware corporation and renamed GRAIL, Inc. To effect the Spin-Off, Illumina distributed 85.5% of the shares of GRAIL’s common stock owned by Illumina to Illumina’s stockholders, and GRAIL became an independent, publicly traded company. Illumina retained 14.5% of GRAIL’s common stock. Also on the Distribution Date, we entered into a Separation and Distribution Agreement and several other agreements with Illumina related to the Spin-Off. These agreements govern the relationship between Illumina and us after completion of the Spin-Off and allocated between Illumina and us various assets, liabilities and obligations, including those related to employees and compensation and benefits plans and programs and tax-related assets and liabilities. During the fourth quarter of 2025, Illumina sold 2,000,000 shares of the Company’s common stock reducing its ownership to 2,502,126 shares, which represented approximately 6.0% of the Company’s outstanding common stock as of December 31, 2025. On February 17, 2026, Illumina filed a Schedule 13G reporting beneficial ownership of 1,302,126 shares of our common stock. See </w:t>
      </w:r>
      <w:r>
        <w:rPr>
          <w:rFonts w:ascii="Arial;sans-serif" w:hAnsi="Arial;sans-serif"/>
          <w:b w:val="false"/>
          <w:i/>
          <w:color w:val="000000"/>
          <w:sz w:val="20"/>
        </w:rPr>
        <w:t>Note 16 — Related Party Transactions</w:t>
      </w:r>
      <w:r>
        <w:rPr>
          <w:color w:val="000000"/>
        </w:rPr>
        <w:t xml:space="preserve"> </w:t>
      </w:r>
      <w:r>
        <w:rPr>
          <w:rFonts w:ascii="Arial;sans-serif" w:hAnsi="Arial;sans-serif"/>
          <w:b w:val="false"/>
          <w:color w:val="000000"/>
          <w:sz w:val="20"/>
        </w:rPr>
        <w:t xml:space="preserve">for more information.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Other Information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website address is https://grail.com. Information contained on, or connected to, our website does not and will not constitute part of this Annual Report on Form 10-K, or any other filings with, or any information furnished or submitted to, the Securities and Exchange Commission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ind w:left="0" w:right="0" w:firstLine="450"/>
        <w:jc w:val="left"/>
        <w:rPr>
          <w:rFonts w:ascii="Arial;sans-serif" w:hAnsi="Arial;sans-serif"/>
          <w:b w:val="false"/>
          <w:i/>
          <w:color w:val="000000"/>
          <w:sz w:val="20"/>
        </w:rPr>
      </w:pPr>
      <w:r>
        <w:rPr>
          <w:rFonts w:ascii="Arial;sans-serif" w:hAnsi="Arial;sans-serif"/>
          <w:b w:val="false"/>
          <w:i/>
          <w:color w:val="000000"/>
          <w:sz w:val="20"/>
        </w:rPr>
        <w:t>You should carefully consider the following risks and other information in this Annual Report on Form 10-K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3845"/>
                <wp:effectExtent l="0" t="0" r="0" b="0"/>
                <wp:wrapNone/>
                <wp:docPr id="66" name="Frame5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Our Business and Industry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operate in a rapidly evolving field and have a limited operating history, which make it difficult to evaluate our current business and predict our future performance.</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rapid growth and significant events such as our separation from Illumina and the restructuring plan (“Restructuring Plan”) approved by our Board of Directors (the “Board”) designed to reprioritize our resources to focus on our core MCED business and reduce overall spend as we pursue a PMA approval from the FDA for Galleri and broad reimbursement, may make it difficult to evaluate our current business or our future success and the risks and challenges we may encounter, and may increase the risk that we will not continue to grow at or near historical rates. See </w:t>
      </w:r>
      <w:r>
        <w:rPr>
          <w:rFonts w:ascii="Arial;sans-serif" w:hAnsi="Arial;sans-serif"/>
          <w:b w:val="false"/>
          <w:color w:val="231F20"/>
          <w:sz w:val="20"/>
        </w:rPr>
        <w:t>Item 7. “Management’s Discussion and Analysis of Financial Condition and Results of Operations” for more information about the Restructuring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fail to address the risks and difficulties that we face, including those described elsewhere in this Item 1A.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have incurred significant net losses in each period since our inception and anticipate that we will continue to incur net losses for the coming years.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Since our inception, we have incurred significant net losses. Our net loss was $408.4 million for 2025, $2.0 billion for 2024, and $1.5 billion for 2023.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the impairments of $28.0 million, $1.4 billion and $0.7 billion for 2025, 2024 and 2023, respectively, related to the intangible assets and goodwill recorded by Illumina upon the Acquisition of GRAIL. As of December 31, 2025, we had an accumulated deficit of $10.2 billion and intangible assets of $1.9 billion.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invested significant financial resources in research and development activities, including developing our methylation platform, and developing our products, such as Galleri and our precision oncology portfolio. We have also invested significant resources to conduct large scale clinical studies to evaluate and improve Galleri and current and future products, and to commercialize Galleri and plan for potential commercial launches of our future and current products in other markets. The amount of our future net losses will depend, in part, on the level of our future expenditures and our ability to generate additional revenue. Moreover, our net losses may fluctuate significantly from quarter to quarter and year to year, such that a period-to-period comparison of our results of operations may not be a good or reliable indication of our future performance.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expect to continue to incur significant expenses and operating losses as we:</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attract, hire, and retain qualified personnel;</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seek regulatory approvals, clearances, or certifications, or coverage and reimbursement, that may be necessary or desired for our products and future products;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conduct our ongoing clinical studies and initiate and conduct additional clinical studies to support the development and commercialization of our products and potential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3845"/>
                <wp:effectExtent l="0" t="0" r="0" b="0"/>
                <wp:wrapNone/>
                <wp:docPr id="67" name="Frame5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continue our research and development activities;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maintain and potentially expand our laboratory capacity and enhance operating capabilities for greater commercial scale;</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maintain sales, marketing, and distribution infrastructure for purchases of our products;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acquire or in-license additional intellectual property and technologies;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make milestone, royalty, or other payments due under any license or collaboration agreements;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obtain, maintain, protect, and enforce our intellectual property portfolio, including intellectual property obtained through license agreements;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maintain and potentially expand our facilities and infrastructure to support our continued research and development, operations and any planned commercialization efforts in the future;</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defend against any litigation, including but not limited to any patent disputes, employment matters, product liability claims or other lawsuits related to our products, our marketing, advertising, or labeling, or our clinical research;</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support international commercial expansion of our products;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continue to engage the medical community and others to drive awareness and adoption of MCED testing; and</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meet the requirements and demands of being a public company.</w:t>
      </w:r>
    </w:p>
    <w:p>
      <w:pPr>
        <w:pStyle w:val="TextBody"/>
        <w:bidi w:val="0"/>
        <w:spacing w:before="0" w:after="0"/>
        <w:ind w:left="0" w:right="0" w:firstLine="450"/>
        <w:jc w:val="left"/>
        <w:rPr/>
      </w:pPr>
      <w:r>
        <w:rPr/>
      </w:r>
    </w:p>
    <w:p>
      <w:pPr>
        <w:pStyle w:val="TextBody"/>
        <w:bidi w:val="0"/>
        <w:spacing w:lineRule="auto" w:line="288" w:before="0" w:after="240"/>
        <w:ind w:left="0" w:right="0" w:firstLine="450"/>
        <w:jc w:val="left"/>
        <w:rPr>
          <w:rFonts w:ascii="Arial;sans-serif" w:hAnsi="Arial;sans-serif"/>
          <w:b/>
          <w:i/>
          <w:color w:val="000000"/>
          <w:sz w:val="20"/>
        </w:rPr>
      </w:pPr>
      <w:r>
        <w:rPr>
          <w:rFonts w:ascii="Arial;sans-serif" w:hAnsi="Arial;sans-serif"/>
          <w:b/>
          <w:i/>
          <w:color w:val="000000"/>
          <w:sz w:val="20"/>
        </w:rPr>
        <w:t>Our NHS-Galleri Trial did not meet its stated primary endpoint, which may adversely affect our business, stock price, and ability to obtain regulatory approvals, coverage and reimbursement, or achieve commercial adoption.</w:t>
      </w:r>
    </w:p>
    <w:p>
      <w:pPr>
        <w:pStyle w:val="TextBody"/>
        <w:bidi w:val="0"/>
        <w:spacing w:lineRule="auto" w:line="288" w:before="0" w:after="240"/>
        <w:ind w:left="0" w:right="0" w:firstLine="450"/>
        <w:jc w:val="left"/>
        <w:rPr>
          <w:rFonts w:ascii="Arial;sans-serif" w:hAnsi="Arial;sans-serif"/>
          <w:b w:val="false"/>
          <w:color w:val="000000"/>
          <w:sz w:val="20"/>
        </w:rPr>
      </w:pPr>
      <w:r>
        <w:rPr>
          <w:rFonts w:ascii="Arial;sans-serif" w:hAnsi="Arial;sans-serif"/>
          <w:b w:val="false"/>
          <w:color w:val="000000"/>
          <w:sz w:val="20"/>
        </w:rPr>
        <w:t>In February 2026, we announced topline results from our NHS-Galleri Trial, which enrolled approximately 140,000 participants in England between 2021 and 2024, and which did not meet its primary endpoint of statistically significant combined Stage 3 and 4 reduction. Not meeting the stated primary endpoint may negatively impact perceptions of the clinical utility of the Galleri test among healthcare providers, payors, regulators, potential commercial partners, and the investment community. This could adversely affect our ability to obtain coverage and reimbursement from Medicare, Medicaid, and commercial third-party payors, secure implementation of Galleri screening in the NHS in England or other international single-payor healthcare systems, achieve broad commercial adoption of Galleri among healthcare providers and patients in the United States, or enter into partnerships or collaborations on favorable terms. Additionally, although the submission package submitted for our PMA includes only the NHS-Galleri Prevalent Round Results, data from the PATHFINDER 2 Initial Results and the Bridging Analysis, nevertheless it is possible that not meeting the stated primary endpoint in the NHS-Galleri Trial could impact our ability to achieve FDA approval of our pending PMA application, or result in approval with more limited indications or labeling than we seek.</w:t>
      </w:r>
    </w:p>
    <w:p>
      <w:pPr>
        <w:pStyle w:val="TextBody"/>
        <w:bidi w:val="0"/>
        <w:spacing w:lineRule="auto" w:line="288" w:before="0" w:after="240"/>
        <w:ind w:left="0" w:right="0" w:firstLine="450"/>
        <w:jc w:val="left"/>
        <w:rPr>
          <w:rFonts w:ascii="Arial;sans-serif" w:hAnsi="Arial;sans-serif"/>
          <w:b w:val="false"/>
          <w:color w:val="000000"/>
          <w:sz w:val="20"/>
        </w:rPr>
      </w:pPr>
      <w:r>
        <w:rPr>
          <w:rFonts w:ascii="Arial;sans-serif" w:hAnsi="Arial;sans-serif"/>
          <w:b w:val="false"/>
          <w:color w:val="000000"/>
          <w:sz w:val="20"/>
        </w:rPr>
        <w:t>We are undertaking additional analyses and plan to extend the trial's follow-up period by 6-12 months to further understand the data and other endpoints. However, there can be no assurance that such analyses will produce more favorable conclusions or that any additional data will change perceptions of the trial results among the groups identified above. Any adverse impact from the primary endpoint results could materially harm our business, results of operations, financial condition, and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3845"/>
                <wp:effectExtent l="0" t="0" r="0" b="0"/>
                <wp:wrapNone/>
                <wp:docPr id="68" name="Frame6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76" w:before="0" w:after="0"/>
        <w:ind w:left="0" w:right="0" w:firstLine="450"/>
        <w:jc w:val="left"/>
        <w:rPr>
          <w:rFonts w:ascii="Arial;sans-serif" w:hAnsi="Arial;sans-serif"/>
          <w:b/>
          <w:i/>
          <w:color w:val="000000"/>
          <w:sz w:val="20"/>
        </w:rPr>
      </w:pPr>
      <w:r>
        <w:rPr>
          <w:rFonts w:ascii="Arial;sans-serif" w:hAnsi="Arial;sans-serif"/>
          <w:b/>
          <w:i/>
          <w:color w:val="000000"/>
          <w:sz w:val="20"/>
        </w:rPr>
        <w:t>Our products or future products may not perform as expected, and the results of our clinical studies may not be replicated in the post-market or real-world setting.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success depends on our ability to provide reliable, high-quality products that perform as indicated in our product labeling, marketing, and advertising material, as well as our ability to complete clinical studies. Our commercial product, Galleri, which we have launched as a laboratory developed test (“LDT”) in the United States and for which we are pursuing approval of a PMA from the FDA and our precision oncology portfolio, which we currently offer on a research-use-only basis, and any future products in development,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example, in February 2026, we announced topline results from the NHS-Galleri Trial, which did not achieve its primary endpoint of statistically significant combined Stage 3 and 4 cancer reduction. Not meeting the stated primary endpoint may lead healthcare providers, payors, regulators, and the investment community to question the clinical utility of Galleri. Any perception that our products do not perform as expected, even if clinically meaningful benefits were demonstrated, could materially harm our ability to obtain regulatory approvals, secure reimbursement, achieve commercial adoption, and maintain the market price of our common stock.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clinical trials to date have been conducted on an earlier version of Galleri. We have in the past improved, and intend in the future to improve, our products to enhance performance, offerings, scalability, and/or cost of sales, including through the launches of new versions. However, we may not be successful in transitioning our products to a new or enhanced version or iteration. These improvements may be made through evaluation, refinement or enhancement of our laboratory process or our algorithms and other processes. Before implementing a new version, we conduct a non-inferiority or bridging study (for example, using clinical data and/or real-world evidence data obtained through Galleri’s commercial use as an LDT) to establish performance, safety and concordance between the new version and the existing version. Even if determined to be non-inferior or concordant, these refinements and improvements may inadvertently result in unanticipated issues that may reduce our performance characteristics, such as sensitivity or specificity rates, increase our turnaround time or failure rate or otherwise adversely affect the performance of our tests and their results. For example, in late 2024, we began use of an updated commercial version of Galleri in commercial channels. This version incorporates an industrial scale platform with significant automation and is intended to enable us to scale more efficiently with future demand. In connection with implementation of this new version of Galleri, we initially experienced and may continue to experience increased turnaround times, re-processing costs and sample failures. We continually monitor and evaluate laboratory operations and performance in an effort to achieve our intended sample processing metrics and costs; however from time to time, processing issues may arise that could impact our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are unable to adequately prevent these issues from occurring, or to adequately identify and remedy these issues, we may experience reputational harm, lose customers and revenue, need to offer discounts, require additional expenditures, delay or prevent PMA approval, or suffer other negative consequences. Our failure to successfully develop new and/or improved products (including new versions of existing products) on a timely basis could have a material adverse effect on our results of operations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3845"/>
                <wp:effectExtent l="0" t="0" r="0" b="0"/>
                <wp:wrapNone/>
                <wp:docPr id="69" name="Frame6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The clinical study process is lengthy and expensive with uncertain outcomes. We have encountered delays and may encounter future delays in, or unexpected, uncertain or negative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 For example, in May 2025 we disclosed positive top-line results from the NHS-Galleri Trial prevalent screening round (the first round of blood draws from a total of three blood draws with one year follow up each), which is included in our PMA submission to the FDA. The NHS will evaluate the final results from the NHS-Galleri Trial before determining whether to implement the Galleri test in the NHS. Under our agreement with the NHS, these results have met certain success criteria and missed others. As a result, we and NHS England will convene meetings of our joint steering committee to discuss how best to proceed with deployment to the UK population, if at all, considering deployment approaches and which population groups would most benefit. We believe the decision will include considerations such as NHS budget, political priorities, cost-effectiveness and implementation constraints in addition to an evaluation of the final results. Various factors are likely to cause the final results to differ from a review of the first round results only. For example, cancer screening trials designed to show clinical utility are commonly conducted over three years with an annual screening period, because data from the first screening round only can be influenced by the fact that screening detects many prevalent late-stage asymptomatic cancers that have not yet been diagnosed. It is possible that the final results will be unsuitable or unavailable,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analyses or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our Real-world Evidence to Advance Multi-Cancer Early Detection Health Equity (“REACH” or “Galleri-Medicare”) study, or if we are unable to maintain sufficient participation of enrolled participants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83845"/>
                <wp:effectExtent l="0" t="0" r="0" b="0"/>
                <wp:wrapNone/>
                <wp:docPr id="70" name="Frame6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statistical power for our endpoints, our product development, commercialization activities, and our ability to seek regulatory clearance or approval for our products could be delayed, require modification, or be prevented.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Further, the FDA may require that we conduct additional studies or expand the enrollment or follow-up of completed or ongoing studies to support our PMA, which would delay potential approval of our PMA submission, which would negatively impact our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initiation and completion of clinical studies may be prevented, delayed, or halted for numerous reasons, including as a result of the following:</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the inability to generate sufficient data to support the initiation or continuation of clinical studies;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the requirement to submit an Investigational Device Exemption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delays caused by participants withdrawing from clinical studies or failing to return for follow-up or by institutions failing to submit data, including follow-up data, to us;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delays or failure in reaching a consensus or agreement, if required, with regulatory agencies on study design or feedback from regulatory agencies necessitating changes to ongoing or planned clinical study design;</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delays or failure in reaching agreement on acceptable terms with contract research organizations (“CROs”), service providers, and clinical study sites, the terms of which can be subject to extensive negotiation and may vary significantly among different CROs and clinical study sites;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delays or failure in obtaining any required IRB approval or ethics committee approval for our clinical study sites;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delays in amending, or the inability to amend, our IRB- or ethics committee-approved protocols at clinical study sites when necessary or desired;</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difficulty or delays in collaborating with sites, institutions, and investigators;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failure by us, investigators, sites, or participants to comply with the applicable study protocol or applicable regulatory requirements and standards for data collection, reporting, records maintenance, or data integrity;</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failure by us or any CROs or other third parties to adhere to clinical study requirements, including the applicable protocol;</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failure to perform in accordance with good clinical practice (“GCP”) and good laboratory practice (“GLP”) requirements, and/or other applicable regulations and requirements of the FDA or other applicable governmental authorities; failure to comply with applicable data privacy and security laws, including laws related to processing of special categories of personal data clinical studies such as the EU GDPR or UK GDPR;</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challenges caused by transferring personal information or biological samples from the EU, United Kingdom, or other countries to our systems or facilities in the United States for processing or to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83845"/>
                <wp:effectExtent l="0" t="0" r="0" b="0"/>
                <wp:wrapNone/>
                <wp:docPr id="71" name="Frame6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failure of our products and future products to achieve acceptable performance metrics, such as sensitivity, specificity, positive predictive value, and/or safety endpoints;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unacceptable safety findings, including findings related to the risk, such as higher likelihood, of false positive test results (which could lead to unnecessary confirmatory testing, such as biopsy, or anxiety) or false negative test results (which could lead to foregoing standard of care screening, a delay in diagnosis or disease progression);</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our inability to collaborate with clinical investigators, including if they are disqualified, terminated, suspended, or change affiliated institutions;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adverse inspections of our clinical study sites or results by any applicable regulatory authority, including the FDA, NHS, or United Kingdom Medicines and Healthcare products Regulatory Agency;</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changes in the standard of care on which a clinical development plan was based, which may require new or additional clinical studies;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the cost of clinical studies of our products and future products being greater than we anticipate;</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destruction or compromise of, or other inability to access or receive, clinical study samples processed, stored, managed, or otherwise in the control of a clinical site or other third party;</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determination that data from research conducted outside the United States, including the NHS-Galleri Trial,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clinical studies of our products and future products producing negative or inconclusive results, which may result in our deciding, or regulators requiring us, to conduct additional clinical studies or abandon development programs; and</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lack of adequate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3845"/>
                <wp:effectExtent l="0" t="0" r="0" b="0"/>
                <wp:wrapNone/>
                <wp:docPr id="72" name="Frame6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 In addition, our precision oncology offering is highly dependent on collaborations with select, leading biopharmaceutical companies. For example, in late 2025, one of our pharmaceutical partners terminated its phase 3 trial due to low enrollment, for which our methylation technology was used as a potential companion diagnostic for enrolling participants. To the extent our collaborators experience any of delays, halts, unexpected data or other issues in the trials they collaborate on with us, we may be similarly delayed or halted in validating or generating revenue from our precision oncology offering, and we could experience reputational or other harms.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inability to initiate or complete clinical studies successfully could result in additional costs to us, slow down or prevent our product development and receipt of positive reimbursement coverage decisions, or impair 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 regulatory clearance, approval, or certification we may seek with respect to our products and future products. Delays in the initiation or completion of any clinical study of our products or future products in development, such as Galleri or our precision oncology portfolio,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A substantial majority of our revenue is generated from sales of Galleri and we are highly dependent on it for our success.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and in the section titled Management’s Discussion and Analysis, including, among others, our ability to successfully fulfill test orders,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83845"/>
                <wp:effectExtent l="0" t="0" r="0" b="0"/>
                <wp:wrapNone/>
                <wp:docPr id="73" name="Frame6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our products do not receive adequate coverage and reimbursement, if at all, from third-party payors, our ability to expand access to our products and our overall commercial success beyond our existing sales channels will be limited.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established coverage and reimbursement for Galleri from a number of self-insured employers and other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February 2026, the Nancy Gardner Sewell Medicare MCED Coverage Act became law and created a Medicare coverage benefit category for multi-cancer early detection tests. The law included certain standards, including that CMS would establish coverage through a national coverage determination (“NCD”) process under “reasonable and necessary” evidentiary requirements. An NCD typically involves a multi-step review that can include evidence assessment by CMS staff, consultation with external technology assessment organizations, a Medicare Evidence Development &amp; Coverage Advisory Committee (MEDCAC) meeting, and opportunities for public comment. CMS may issue an NCD to provide coverage for MCED tests that are cleared under 510(k), classified under 513(f)(2) or approved by the FDA, with authority to initiate coverage as early as January 1, 2029. Coverage eligibility is phased in, with those aged 50-65 eligible under the law in 2029, expanding by one age-year annually. The payment rate for covered MCED tests would be in alignment with methodologies under the Protecting Access to Medicare Act (PAMA), which incorporates private market rates. The NCD process can be lengthy and resource-intensive, and its timing, outcome, and scope are inherently uncertain, which may affect the availability, extent, and conditions of Medicare reimbursement for applicable products or services. Because of the novelty of the statutory authority and of MCED technology, it is uncertain what evidence will be required in order to achieve an NCD, or if the evidence we have collected through our completed, ongoing or planned clinical studies and commercial practice will be sufficient to support such determination.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Additionally,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an NCD process, which generally requires, or is significantly more likely following, FDA approval of specific screening products.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Historically, USPSTF has only provided grade A or B recommendations on the basis of evidence packages that include mortality data, which would require significant long-term follow up. However, even if we are successful in obtaining an NCD on the basis of the new MCED benefit category, the coverage would only apply to a relatively small portion of the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83845"/>
                <wp:effectExtent l="0" t="0" r="0" b="0"/>
                <wp:wrapNone/>
                <wp:docPr id="74" name="Frame6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Medicare population due to the age restriction and annual phase in requirement. Accordingly, we would intend to seek a USPSTF grade for Galleri and, potentially, an NCD as additional preventative services. If we receive an NCD for Galleri or our other products and subsequently receive a USPSTF grade lower than A or B, it is possible that CMS would rescind the NCD.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 Government Regulations—Coverage and Reimbursement” in this Annual Report on Form 10-K. </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reevaluated every three years. A series of legislative amendments delayed the next PAMA reporting period to February 1, 2026 through April 30, 2026, which will cover the original data collection period of January 1, 2019 through June 30, 2019. New CLFS rates for clinical diagnostic laboratory tests (“CDLTs”) will be established based on that data, effective January 1, 2027, subject to phase-in limits. In addition, under PAMA, as amended, the payment reduction cap is 15% per test per year from January 31, 2026 through 2028.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Congress is currently considering additional reforms to the PAMA reporting system. The full impact of the PAMA rate-setting methodology and its applicability to our products, including interactions with potential establishment of a Medicare MCED benefit category under consideration in Congress, remains uncertain at this time.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including as a result of the false positive rate. As a 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83845"/>
                <wp:effectExtent l="0" t="0" r="0" b="0"/>
                <wp:wrapNone/>
                <wp:docPr id="75" name="Frame6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determining whether to provide coverage and reimbursement for Galleri, payors may consider the results of our clinical studies, including the NHS-Galleri Trial. The NHS-Galleri Trial did not meet its primary endpoint of statistically significant combined Stage 3 and 4 reduction. Even though the trial demonstrated a substantial reduction in stage 4 cancer diagnoses, increased stage 1 and 2 detection of deadly cancers, and four-fold higher cancer detection rate when compared to recommended screenings alone, payors may view the overall trial outcome unfavorably, which could adversely impact coverage decisions or reimbursement rates for Galleri. Any inability to secure favorable coverage and reimbursement decisions as a result of the NHS-Galleri Trial results, or otherwise, could materially harm our revenue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revenues for our products in line with our expectations, including for Galleri, any other current or future products or future versions of Galleri.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first responders, including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commercial products may fail to achieve the degree of market acceptance necessary for commercial success.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performance, validation, and clinical utility of such products as demonstrated in clinical studies, from real-world use, and published in peer-reviewed journals;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our ability to demonstrate the clinical validation and utility of our products and their potential advantages to the medical community;</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ability of our products to demonstrate comparable or non-inferior performance in real-world intended use populations as in clinical studies;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willingness of consumers, including self-insured employers, health systems, healthcare providers, life insurance companies, patients, and others in the medical community to utilize our products;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willingness of providers, patients, and others to learn about our products, and establish a sense of understanding and confidence in the use of our products;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83845"/>
                <wp:effectExtent l="0" t="0" r="0" b="0"/>
                <wp:wrapNone/>
                <wp:docPr id="76" name="Frame6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belief of providers, patients, CMS and others that the use of Galleri in its intended use population is clinically appropriate, and not restricting its use to a narrower intended population;</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introduction or market acceptance of future third-party products, including the expansion of the capabilities of existing products and tests that are reimbursed;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ability of our partners and our employees and contractors to ensure the safety and privacy of our patient data;</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 xml:space="preserve">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 xml:space="preserve">our ability to fulfill test orders in a timely manner; </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strength of our marketing and distribution support and patient-facing service providers;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perception among healthcare providers, payors, regulators, and the investment community regarding the clinical significance of clinical trial results, including instances where a trial does not meet its primary endpoint, even if clinically meaningful secondary endpoints are achieved, as occurred in our NHS-Galleri Trial;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willingness of healthcare providers and payors to prescribe or cover Galleri in light of the NHS-Galleri Trial not meeting its primary endpoint of statistically significant combined Stage 3 and 4 reduction, notwithstanding favorable secondary endpoint data.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 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completed our PATHFINDER study, PATHFINDER 2 study and NHS-Galleri Trial, and have additional clinical studies underway designed to evaluate the clinical validity of Galleri, our product is not yet, and may never be, listed in any such guidelines, even if approved by the FDA.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Additionally, we believe that FDA approval for Galleri may provide clinical and regulatory credibility and validation in the view of providers, third-party payors, and others, and our failure to achieve FDA approval, at all or within our anticipated timelines or with an adequate approved label, could limit adoption of Galleri, even if we continue to publish data on its clinical validity and utility in peer-reviewed journals. Potential rejection or material delay of our PMA submission, including a requirement by the FDA to conduct additional studies or expand the enrollment of completed or ongoing studies, may reflect negatively on Galleri and the clinical studies used to support our PMA submission, which could lead healthcare providers, payors, and others to lose confidence in the utility or benefit of Galleri and our other products and future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Failure to achieve broad market acceptance of our products would materially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83845"/>
                <wp:effectExtent l="0" t="0" r="0" b="0"/>
                <wp:wrapNone/>
                <wp:docPr id="77" name="Frame6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may not be able to generate sufficient revenue to offset our ongoing operating expenses and achieve and maintain profitability, and it may be difficult for us to offset the costs of our royalties, including the high single-digit royalty that we will be required to pay to Illumina in perpetuity or our royalties payable to the Chinese University of Hong Kong.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ability to generate future revenue growth from product sales and achieve profitability depends on our ability to continue commercializing our products. We may not be able to generate sufficient revenues to offset our costs of developing and offering our products or achieve or maintain profitability on any products, and revenues from precision oncology may not be a significant source of our overall revenue in the future. Further, we cannot assure you that we will successfully be able to launch any future products as planned, if at all, and our failure to do so may prevent us from generating increased revenue. Even if we are able to launch future products in a timely manner, we may not be able to generate sufficient revenue to offset our costs and achieve profitability. Our ability to generate future revenue growth from product sales depends heavily on our success in:</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continuing clinical development, validation, and demonstration of the clinical utility of our products and future products and continuing to improve product performance and expand product features over time;</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seeking, obtaining, and maintaining marketing authorizations or certifications that may be necessary or desired for any versions of Galleri and any future products that we develop;</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launching and commercializing our products by maintaining and expanding our sales force, marketing, medical affairs, and distribution infrastructure, and collaborating with commercialization partners;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investing in and enhancing our proprietary methylation platform, and enhancing later versions of our existing and future products and offerings;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obtaining market acceptance by consumers, including self-insured employers, health systems, healthcare providers, life insurance companies, patients, and third-party payors;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or other future products;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achieving adequate coverage and reimbursement from government healthcare programs, health insurance organizations, and other third-party payors for products that we launch;</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achieving sufficient efficiencies and cost management strategies in our laboratory, supply chain, and elsewhere to maintain an appropriate cost of goods sold to offer our products at an acceptable price in a pre-reimbursement environment;</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addressing any technological and market developments;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negotiating favorable terms in any collaboration, licensing, or other arrangements into which we may enter and maintaining such existing or future arrangements;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maintaining, protecting, and expanding our portfolio of intellectual property rights, including patents, trade secrets, know-how, and trademarks;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potential cost of and delays in product development as a result of any regulatory oversight applicable to our existing and future products and offerings;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defending against third-party interference, invalidation, or infringement claims, if any; and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attracting, hiring, and retaining qualified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83845"/>
                <wp:effectExtent l="0" t="0" r="0" b="0"/>
                <wp:wrapNone/>
                <wp:docPr id="78" name="Frame7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“Business—Operations—Supply Chain and Agreement” in this Annual Report on Form 10-K.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Under the terms of our license agreements with the Chinese University of Hong Kong, we are also required to pay a low single-digit royalty on net sales of our products that use the technology we license from Chinese University of Hong Kong, subject to minimum annual guarantees. Our payment obligations with respect to each license from the Chinese University of Hong Kong for each product containing any licensed technology extends until the expiration or termination of such license, which shall be the later of a low double-digit number of years from our payment of the license issue fee or expiration of the last-to-expire licensed patent. Although certain provisions in our agreement with Illumina allow us to reduce our royalty to Illumina by up to a low single-digit percentage due to third party royalties actually paid, such as our royalty payment to Chinese University of Hong Kong, our obligation to pay this royalty on our net sales could reduce our gross margins and increase our expenses. See the section titled “Business—Intellectual Property—License Agreements with the Chinese University of Hong Kong” in this Annual Report on Form 10-K.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will need to generate significant additional revenue to achieve and maintain profitability and will need to obtain additional funding to continue operations. Even if we achieve profitability, we cannot be sure that we 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may be unable to develop and commercialize new products, including enhanced versions of current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Although we reduced investment in the development of products beyond Galleri as part of the Restructuring Plan, including in a diagnostic aid product for cancer and our precision oncology portfolio, we are continuing research and development of our proprietary methylation platform and our large clinical and genomic datasets to develop enhanced versions of Galleri. In the future, we may determine to invest further in new product development. The commercialization of any new products, including enhanced versions of current products, will require the completion of certain clinical development activities, regulatory activities, and the expenditure of additional cash resources. However, we may not be successful in transitioning our products to a new or enhanced version or iteration, or achieving the required characteristics in a new product. Product development involves a lengthy and complex process and we may be unable to commercialize, validate, or improve performance of any of our products on a timely basis, or at all. For example, to the extent an enhanced version of an existing product is developed,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the FDA or other regulatory authorities, in particular where we are modifying an FDA approved product or seeking FDA approval of a new product, and may be unsuccessful or insufficient to support approval of any such subsequent, enhanced version of our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If unsuccessful or insufficient, we would be required to revert to a prior version of the test and forgo, or be delayed in, implementing any perceived or potential updates, including enhancements, or further enhance, modify or update to a new version of the test and run additional bridging studies. Reverting to a prior version of the test or running additional bridging studies may cause delays in our efforts to obtain PMA approval for Galleri or any new product. Additionally, planned improvements to our products may cause unintentional technical, logistical or other issues. In late 2024, we began use of an updated commercial version of Galleri in commercial channels. This version incorporates an industrial scale platform with significant automation and is intended to enable us to scale more efficiently with future demand. In connection with implementation of this new version of Galleri, we initially experienced and may continue to experience increased turnaround times, re-processing costs and sample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83845"/>
                <wp:effectExtent l="0" t="0" r="0" b="0"/>
                <wp:wrapNone/>
                <wp:docPr id="79" name="Frame7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failures. We continually monitor and evaluate laboratory operations and performance in an effort to achieve our intended sample processing metrics and costs; however from time to time, processing issues may arise that could impact our operations. If we are unable to adequately prevent these issues from occurring, or to adequately identify and remedy these issues, we may experience reputational harm, lose customers and revenue, need to offer discounts, require additional expenditures, delay or prevent PMA approval, or suffer other negative consequences.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pursuing a PMA with the FDA for a further updated version of Galleri, and, in January 2026, we submitted a PMA to the FDA including the full prevalent screening round analysis from the NHS-Galleri Trial, together with performance and safety data focused on the first approximately 25,000 participants in the PATHFINDER 2 study. While we have announced positive topline NHS-Galleri Prevalent Round Results and presented positive results from our PATHFINDER 2 study at ESMO in October 2025, each of these studies was conducted on an earlier version of Galleri. Our PMA submission to the FDA also includes a bridging analysis comparing and measuring concordance of the version of Galleri used in the NHS-Galleri Trial and PATHFINDER 2 study with the updated version of the Galleri test submitted to the FDA for premarket approval. The version that has been submitted to the FDA for approval may have different performance, safety, operational or other characteristics, and the FDA’s approval, if at all, will depend on the results of the bridging study, which could result in different labelling than our commercially available product.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cannot ensure that we will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similar third-party products are developed and do not perform as intended or cause harm or injury to patients, the market for our products could be impaired.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Many companies have recently launched or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 confidence in early cancer detection and precision medicine in general, which could potentially adversely affect confidence in our products. In particular, to-date other MCED tests on the market have been launched based on case-controlled data only, and have not been tested in an intended use population or in an interventional trial. Case controlled studies do not always translate into an intended use population, for example because case controlled studies often have a higher number of cancer cases, a different mix of types of cancer and stronger cancer signal in the cancer samples as compared to a prospective study in an intended use population. As a result, the failure of any competing products to perform as expected could significantly adversely affect public perception about cancer detection tests generally, including our products, and could significantly impair our reputation and operating results.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fail to obtain additional financing, we may be unable to expand our commercialization efforts or to develop and commercialize additional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operations have required substantial amounts of cash since inception. To date, we have financed our operations primarily through the sale of equity securities, including in our recent private placement transaction and at-the-market sales, and capital contributions from Illumina and, to a lesser extent, revenue derived from Galleri sales and precision oncology portfolio revenue. Our product development, commercialization and clinical study activities are expensive, and we expect to continue to spend substantial amounts as we expand our commercialization efforts with respect to Galleri, including pursuing broader coverage and reimbursement, continue to enhance our core technology platform, broaden the applications of our technology platform, and develop new products in the future. In addition, obtaining any necessary or desirable regulatory approvals, clearances, or certifications, as well as coverage and reimbursement, for our products will require substantial additional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83845"/>
                <wp:effectExtent l="0" t="0" r="0" b="0"/>
                <wp:wrapNone/>
                <wp:docPr id="80" name="Frame7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we had $249.7 million in cash and cash equivalents and short-term marketable securities of $654.7 million. We believe that our existing cash and cash equivalents, and short-term marketable securities will be sufficient to fund our projected operations for at least the next 12 months. Our estimate as to how long we expect our existing cash, cash equivalents, and short-term marketable securities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will require additional capital to expand the commercialization of Galleri and our precision oncology portfolio, and for the development and commercialization of future products. Our future capital requirements depend on many additional factors, including:</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cost of development and commercialization activities for our products, including Galleri and our precision oncology portfolio and our future products, including marketing, sales, and distribution costs;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cost related to continued scaling operations to support demand for our products, including the cost of operating our laboratory in Durham, North Carolina;</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timing of, and the costs involved in, obtaining any required or desired regulatory approvals, clearances, or certifications for our products;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timing, scope, progress, results, and costs of developing additional products and conducting clinical studies;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costs involved in preparing, filing, prosecuting, maintaining, expanding, defending, and enforcing patent and other intellectual property rights and claims, including litigation costs and the outcome of such litigation;</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timing and amount of sales of our products and collection of related receivables;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extent to which our products are eligible for coverage and reimbursement from third-party payors;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emergence of new technologies, products, or services and other adverse market developments; and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costs associated with extending the NHS-Galleri Trial follow-up period by 6-12 months, and any additional clinical studies or analyses that may be required to further demonstrate clinical utility following the trial’s failure to meet its primary endpoint;</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potential increased costs of development and commercialization activities if the NHS-Galleri Trial results adversely impact our ability to obtain regulatory approval, coverage and reimbursement, or commercial partnerships on favorable terms; and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other potential adverse developments.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83845"/>
                <wp:effectExtent l="0" t="0" r="0" b="0"/>
                <wp:wrapNone/>
                <wp:docPr id="81" name="Frame7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which could materially affect our business, financial condition, results of operations, and growth prospects and cause the price of our common stock to decline.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result of the Spin-Off, we are subject to a number of limitations and risks that may impact our ability to obtain additional financing. For example, certain restrictions under the Tax Matters Agreement limit our ability to obtain additional financing, including offerings of common stock, or otherwise require that we undertake certain procedures with Illumina. In addition, certain terms of the Spin-Off may impact our ability to successfully obtain financing on favorable terms or at all. These restrictions under these agreements may impact our ability to obtain additional financing when needed, if at all, and, if we are required to repay any disposal funds to Illumina under the clawback provision, our cash balance will be reduced and we may have greater need for additional financing.</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The Samsung Investment is subject to closing conditions, including conditions beyond our control, and no assurance can be given that closing will take place on the timeline currently anticipated, or at all, or that we will achieve our goals under the collaboration agreements to be entered into with Samsung C&amp;T and/or Samsung Electronics. Any failure to close the Samsung Investment or achieve such goals could adversely impact our business, financial conditions, results of operations and liquidity.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16, 2025, we entered into a stock purchase agreement (the “Samsung Stock Purchase Agreement”) with Samsung C&amp;T Corporation (“Samsung C&amp;T”), Samsung Electronics Singapore Pte. Ltd. (together with Samsung C&amp;T, the “Samsung Investors”) and Samsung Electronics Co., Ltd. (“Samsung Electronics”), providing for the issuance and sale by us to the Samsung Investors in a private placement of an aggregate of 1,570,308 shares of our common stock, at a purchase price of $70.05 per share, upon the terms and conditions set forth in the Samsung Stock Purchase Agreement (the “Samsung Investment”). The Samsung Investment is subject to the satisfaction of certain closing conditions set forth in the Samsung Stock Purchase Agreement, including, but not limited to the satisfaction of certain regulatory approvals or clearances, including with respect to the Committee on Foreign Investment in the United States (“CFIUS”). Additionally, we have entered into a Business Collaboration Agreement with Samsung C&amp;T and a Strategic Opportunities Collaboration Agreement with Samsung Electronics in satisfaction of certain closing conditions under the Samsung Stock Purchase Agreement, which will become automatically effective upon the closing of the Samsung Stock Purchase Agreement.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have experienced delays, and may experience further delays and difficulties in satisfying the conditions for closing of the Samsung Investment, and no assurance can be given that closing will take place on the timeline currently anticipated or at all. Some of the closing conditions are outside of our control and it is possible that not all of the closing conditions for the Samsung Investment will be satisfied or that we will not receive the expected proceeds on the timeline currently anticipated or at all. For example, the Samsung Investment is subject to, among others, certain regulatory approvals and clearances, including with respect to CFIUS. In October 2025, we and the Samsung Investors filed a declaration for CFIUS clearance of the Samsung Investment. In January 2026, CFIUS requested that we and the Samsung Investors file a joint voluntary notice, which provides CFIUS up to an additional 90 days to review the Samsung Investment. Government funding shortfalls may delay this timing. While we remain confident that we can obtain CFIUS clearance for the Samsung Investment, there can be no assurance of this, nor that we will receive clearance within the 90-day review and investigation periods.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even though we have executed the Business Collaboration Agreement with Samsung C&amp;T and the Strategic Opportunities Collaboration Agreement with Samsung Electronics, there is no assurance that these agreements or the collaborations they govern will achieve our goals or be on terms that prove to be economically or strategically beneficial to us. For example, we may not recognize or accomplish our strategic objectives under the Business Collaboration Agreement or Strategic Opportunities Collaboration Agreement and we may ultimately find ourselves restricted by the terms that we have negotiated under such agreements.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such adverse developments, including any failure to close the Samsung Investment, could adversely impact our business, financial condition, results of operations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83845"/>
                <wp:effectExtent l="0" t="0" r="0" b="0"/>
                <wp:wrapNone/>
                <wp:docPr id="82" name="Frame7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our products result in direct or indirect participant or patient harm or injury, we could be subject to significant reputational and liability risks.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success will depend on the market’s confidence that our products, including Galleri and, if successfully developed and launched, further enhanced versions of Galleri,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CSO result could expose us to reputational risks and potential liability.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 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rely on Illumina as a sole supplier for our next-generation sequencers and associated reagents, Madison Industries (“Madison”) as a sole supplier of blood collection tubes, and Twist Bioscience Corporation (“Twist”) as a sole supplier of DNA panels. Additionally, we rely on a limited number of suppliers for some of our laboratory instruments and reagents, and we may not be able to immediately find replacements if necessary.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rely on Illumina as the sole supplier of the next-generation sequencers and associated Illumina-supplied reagents we use to perform our genomic tests and as the sole provider of servicing, including maintenance and repair services for these sequencers. Additionally, as a part of the Spin-Off, Illumina distributed 85.5% of its holdings of the Company to its shareholders but remained a significant shareholder through its retention of 14.5% of our outstanding shares immediately following the Spin-Off and we are party to a number of agreements with Illumina entered into in connection with the Spin-Off. Any disruption or interruption in Illumina’s operations, Illumina’s breach of our supply-related agreements or disputes arising between the parties would impact our supply chain and laboratory operations. We also rely on Madison as the sole supplier of our blood collection tubes and Twist as the sole supplier of our DNA panels. We rely on other vendors as sole suppliers, including for machinery, reagents, magnetic beads, tubes and other supplies used in our laboratory workflows although we believe we are less reliant on their offerings than the vendors named 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 supporting clinical studies and conduct new studies, our reputation, and could impact our timing for regulatory authorization and coverage and reimbursement.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Further, we have submitted a PMA for Galleri to the FDA, and we may similarly seek FDA authorization for future products. For RUO products or components supplied to us by any supplier, including Illumina, we would be required to validate for IVD purposes and submit to FDA as part of our marketing authorization. We are cooperating with Madison to obtain FDA authorization as part of our PMA application for their blood collection tubes to be used with our Galleri test.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83845"/>
                <wp:effectExtent l="0" t="0" r="0" b="0"/>
                <wp:wrapNone/>
                <wp:docPr id="83" name="Frame7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 For example, any changes to the material used in our laboratory workflow may require us to supplement or revise the information contained in any PMA or other application, which could increase our costs and delay our efforts to obtain approval for Galleri, and could delay our implementation of the material into our workflow.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diagnostic use generally have significantly higher costs than LDT uses, which, in turn, are more costly than products intended for RUO.</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 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pStyle w:val="TextBody"/>
        <w:bidi w:val="0"/>
        <w:spacing w:lineRule="auto" w:line="288" w:before="240" w:after="283"/>
        <w:ind w:left="0" w:right="0" w:firstLine="450"/>
        <w:jc w:val="left"/>
        <w:rPr/>
      </w:pPr>
      <w:r>
        <w:rPr>
          <w:rFonts w:ascii="Arial;sans-serif" w:hAnsi="Arial;sans-serif"/>
          <w:b w:val="false"/>
          <w:color w:val="000000"/>
          <w:sz w:val="20"/>
        </w:rPr>
        <w:t>Even where we have long term supply agreements in place, these agreements are periodically up for renewal, and may not be renewed or may be terminated. For example, the initial term of the Illumina Supply Agreement</w:t>
      </w:r>
      <w:r>
        <w:rPr>
          <w:color w:val="000000"/>
        </w:rPr>
        <w:t xml:space="preserve"> </w:t>
      </w:r>
      <w:r>
        <w:rPr>
          <w:rFonts w:ascii="Arial;sans-serif" w:hAnsi="Arial;sans-serif"/>
          <w:b w:val="false"/>
          <w:color w:val="000000"/>
          <w:sz w:val="20"/>
        </w:rPr>
        <w:t>is scheduled to expire on February 28, 2027. The Illumina Supply Agreement will automatically renew for two year terms unless we or Illumina provide written notice of nonrenewal at least 120 days prior to the end of the then-current term. If Illumina determined not to renew the Illumina Supply Agreement, we could lose certain preferential pricing under that agreement and other beneficial terms. Even if we were to negotiate a replacement supply agreement with Illumina, it may not provide pricing or other terms that are as beneficial to us. Our royalty obligations under the Illumina Supply Agreement will survive any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83845"/>
                <wp:effectExtent l="0" t="0" r="0" b="0"/>
                <wp:wrapNone/>
                <wp:docPr id="84" name="Frame7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our facilities become inoperable, our ability to provide our products will be significantly impaired and our business will be harmed.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currently conduct commercial testing work, for our products, including Galleri, in our laboratory located in Durham, North Carolina and additionally perform certain research and development in our laboratory in Menlo Park, California.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future products, are dependent on the operation of our Durham, North Carolina laboratory, which received Clinical Laboratory Improvement Amendments of 1988 (“CLIA”) certification to perform high-complexity training, and College of American Pathologists (“CAP”) accreditation and a New York State Department of Health (“NYSDoH”) clinical laboratory permit, among other important certifications such as ISO 15189:2022. In particular, as part of the Restructuring Plan, we have consolidated the processing of commercial Galleri tests in this facility and no longer process commercial Galleri tests in our Menlo Park Facility. As a result, any disruption at our North Carolina facility could materially adversely affect our ability to process tests and return results to patients, and our revenue, operations, business and prospects could be materially harmed. Although we carry insurance for damage to our properties and the disruption of our business, this insurance may not be sufficient to cover all of our potential losses and may not continue to be available to us on acceptable terms, or at all.</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operations and business are materially dependent on various third parties, including information technology, sample collection, processing, transfer facilities, and other patient-facing service providers, any of which could experience disruption, failure, or interruption.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depend on third parties for information technology, telecommunication systems, the collection, processing, transport, and storage of samples, and other patient-facing services. Any disruption in these services or operations could materially adversely harm our business and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As a public company, we continue to work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expenses.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and other cybersecurity incidents. Any disruption or loss of information technology or telecommunications systems on which critical aspects of our operations depend could have an adverse effect on our business, reputation, results of operation, financial condition,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business also depends on our ability to reliably sequence blood samples that we collect, which are transported to our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We maintain samples from our clinical studies for several years. It is possible that the long-term stability of these samples may not be maintained with the passage of time, or could be damaged or lost through a natural or man-made disaster, accident, or break-in, which could negatively impact our ability to use such samples to validate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83845"/>
                <wp:effectExtent l="0" t="0" r="0" b="0"/>
                <wp:wrapNone/>
                <wp:docPr id="85" name="Frame7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the transport of our samples, which generally must be delivered to our facilities for processing within seven days of blood draw.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 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pStyle w:val="TextBody"/>
        <w:bidi w:val="0"/>
        <w:spacing w:lineRule="auto" w:line="268" w:before="120" w:after="283"/>
        <w:ind w:left="0" w:right="0" w:firstLine="540"/>
        <w:jc w:val="left"/>
        <w:rPr/>
      </w:pPr>
      <w:r>
        <w:rPr>
          <w:rFonts w:ascii="Arial;sans-serif" w:hAnsi="Arial;sans-serif"/>
          <w:b w:val="false"/>
          <w:color w:val="000000"/>
          <w:sz w:val="20"/>
        </w:rPr>
        <w:t>In Europe, on August 1, 2024, the EU Artificial Intelligence Act (the “EU AI Act”) entered into force, and establishes a comprehensive, risk-based governance framework for AI in the EU market. The majority of the substantive requirements will apply from August 2, 2026</w:t>
      </w:r>
      <w:r>
        <w:rPr>
          <w:color w:val="000000"/>
        </w:rPr>
        <w:t xml:space="preserve"> </w:t>
      </w:r>
      <w:r>
        <w:rPr>
          <w:rFonts w:ascii="Arial;sans-serif" w:hAnsi="Arial;sans-serif"/>
          <w:b w:val="false"/>
          <w:color w:val="000000"/>
          <w:sz w:val="20"/>
        </w:rPr>
        <w:t xml:space="preserve">at the earliest (although this deadline may be further extended). The EU AI Act applies to companies that develop, use and/or provide AI in the EU and, depending on the use case, includes requirements around transparency, conformity assessments and monitoring, risk assessments, human oversight, security, accuracy, general purpose AI and foundation models, and fines for breaches up to 7% of an undertaking’s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The EU AI Act and its future interpretation and application may affect our use of AI technologies and our ability to provide, improve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83845"/>
                <wp:effectExtent l="0" t="0" r="0" b="0"/>
                <wp:wrapNone/>
                <wp:docPr id="86" name="Frame7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commercialize our services, require additional compliance measures and changes to our operations and processes, result in increased compliance costs and potential increases in civil claims against us, and could adversely affect our business, operations and financial condition. It is also possible that further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For example, a number of U.S. states have or are considering new legislation relating to AI, including the Colorado Artificial Intelligence Act in Colorado and the Utah Artificial Intelligence Policy Act in Utah, all of which will have implications on the ways that businesses can use AI technologies.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 delayed or ineffective data processing. A variety of factors, including infrastructure changes, human or software errors, viruses, malware, cybersecurity incidents or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or cybersecurity incident. If we were required to transfer to another service provider, including the transfer of data to an alternative hosting provider, the transfer and acclimation to the new provider could result in significant business delays and require additional resources.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are unable to scale our operations successfully to support demand for our products, our business could suffer.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and to the extent test volumes grow, we may need to ramp up laboratory capacity, including expanding the processing of Galleri in our Durham, North Carolina facility by increased operations. While we have heavily invested in our scalability, including by expanding our Durham facility laboratory capacity, further buildout of our Durham facility may be needed, as well as further new infrastructure, data processing capabilities, customer service, billing and systems processes, and expanding our internal quality assurance program and cybersecurity and information technology to support testing on a larger scale. We will also need additional equipment, and certified and licensed laboratory personnel to process higher volumes of tests. Our ability to hire personnel to scale would be more challenging if 24/7 operations are implemented and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value of Galleri, our precision oncology portfolio,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83845"/>
                <wp:effectExtent l="0" t="0" r="0" b="0"/>
                <wp:wrapNone/>
                <wp:docPr id="87" name="Frame7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or ship samples in or out of international jurisdictions due to privacy, export/import controls, or other applicable laws, our ability to expand internationally may be limited, and have a negative impact on our business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business and results of operations will suffer if we fail to perform effectively.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There are market participants in the cancer detection space both in the United States and abroad, including Exact Sciences Corporation (recently announced to be acquired by Abbott Laboratories) and Guardant Health, Inc., who have each introduced MCED products into the market in 2025. In addition, Adela, Inc., Caris Life Sciences, ClearNote Health, DELFI Diagnostics, Inc., Exai Bio, Inc., Freenome Inc. and Harbinger Health and Natera, Inc. within the United States and AnchorDx, Anpac Bio-Medical Science Co., Ltd., Burning Rock Biotech Limited, Datar Cancer Genetics, Elypta AB, Gene Solutions JSC, Insighta, Singlera Genomics, Inc. and Seekin, Inc. outside of the United States, among others, have stated that they are attempting to develop tests designed to detect certain types of cancer, including some that will use cell free DNA (“cfDNA”) analyses. The precision oncology market includes companies such as Exact Sciences Corporation (recently announced to be acquired by Abbott Laboratories), Roche/Foundation Medicine, Inc., Natera, Inc., Guardant, Inc., Tempus AI, Inc., Clearnote Health,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may have different strategies to obtain reimbursement for their products, may deploy more effective sales and marketing campaigns or may operate in jurisdictions where lower standards of evidence are required to bring products to market. These companies may succeed in developing, acquiring, or licensing, on an exclusive basis or otherwise, or providers, payers, patients and other stakeholders may believe that these companies or other new market entrants may have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perform successfully will depend largely on our ability to:</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demonstrate compelling advantages in the performance and convenience of our products, including on a cost efficient basis;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achieve market acceptance of our products by healthcare providers and patients, including through our reputation;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achieve adequate coverage and reimbursement by third-party payors for our products;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differentiate our product from future tests and products of third parties;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attract qualified scientific, data science, clinical development, product development, and commercial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83845"/>
                <wp:effectExtent l="0" t="0" r="0" b="0"/>
                <wp:wrapNone/>
                <wp:docPr id="88" name="Frame8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obtain, maintain, defend, and enforce patent and other proprietary protection as necessary for our products;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obtain and maintain any necessary or desirable marketing authorizations or certifications from regulators in the United States and other jurisdictions, and notified bodies;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integrate product ordering and results delivery into practices’ electronic health or medical records systems;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successfully collaborate with institutions in the discovery, development, and commercialization of our products;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successfully expand our operations and implement a successful sales and marketing strategy to support commercialization.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not be able to perform effectively if we are unable to accomplish one or more of these or similar objectives.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cannot maintain our current collaborations or partnerships and enter into new collaborations or partnerships in a timely manner and on acceptable terms, our efforts to develop and commercialize our products could be delayed or adversely affected.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rely, and expect to continue to rely, on collaborative partners to help us develop our products and enhance our research and development efforts. For example, we have collaborated with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For example, in late 2025, AstraZeneca terminated its phase 3 TROPION-Lung12 trial due to low enrollment, for which our methylation technology was used as a potential companion diagnostic for enrolling participants.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83845"/>
                <wp:effectExtent l="0" t="0" r="0" b="0"/>
                <wp:wrapNone/>
                <wp:docPr id="89" name="Frame8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financial, regulatory, or intellectual property position. Even if we establish new collaborations, they may not result in the successful development or commercialization of our products or technology.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will need to grow the size and capabilities of our organization to support scale over time, and we may experience difficulties in managing this growth. If we are unable to maintain and expand sales and marketing capabilities in particular, we may not be successful in increasing sales of Galleri or commercializing new products over the long term.</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we had approximately 910 employees, substantially all of whom were full-time. Our headcount was reduced in 2024 following the implementation of the Restructuring Plan. As our development plans and strategies develop, and as we continue our operation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 Although we have focused our business on Galleri-related activities and our work with biopharmaceutical companies as part of the Restructuring Plan resulting in a lower number of employees as of December 31, 2025, we may nevertheless need to continue to grow our operations to achieve our goals.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Factors that may inhibit our efforts to commercialize any of our products include:</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our inability to recruit and retain adequate numbers of effective sales, marketing, reimbursement, customer service, medical affairs, and other support personnel;</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inability of sales personnel to generate an adequate number of customers, including healthcare systems and healthcare providers, to use our products;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inability to price our products at a sufficient price point to ensure an adequate and attractive level of gross margin and profitability;</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our inability to effectively market to, collaborate with, and secure coverage and reimbursement from third-party payors;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our failure to comply with applicable regulatory requirements governing the sale, marketing, reimbursement, and commercialization of our products; and</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unforeseen costs and expenses associated with maintaining a commercialization organization.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are not able to effectively expand our organization by hiring new employees, we may not be able to successfully implement the tasks necessary to commercialize our products, which would have a negative impact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83845"/>
                <wp:effectExtent l="0" t="0" r="0" b="0"/>
                <wp:wrapNone/>
                <wp:docPr id="90" name="Frame8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are not successful in attracting, motivating, and retaining highly qualified personnel, we may not be able to successfully implement our business strategy.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 The risk of losing our executive officers, key employees and scientific and medical advisors may increase in connection with the Restructuring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To induce valuable employees to join and remain at our company, we have generally granted incentive awards that vest over time-based continued service, in addition to salary and periodic cash incentives. Prior to the Spin-Off, these awards generally consisted of Cash-Based Equity Awards (defined below) and, since the Spin-Off, these awards have consisted of grants of restricted stock units covering GRAIL common stock (“RSUs”), in each case, vesting over set time periods based on continued service. In connection with the Spin-Off, the outstanding Cash-Based Equity Awards converted into RSUs (the “RSU Conversion”) in accordance with the Employee Matters Agreement, dated June 24, 2024, by and between us and Illumina (the “Employee Matters Agreement”). As a result of the applicable RSU conversion mechanic under the Employee Matters Agreement, the fair market value of each employee’s RSU award after the RSU Conversion was substantially lower than the face value of the Cash-Based Equity Awards prior to the RSU Conversion, particularly for award tranches vesting after 2024. In October 2024, we granted 2.4 million RSUs to our employees, including special retention grants made to certain members of our executive team. These RSU grants represented a smaller aggregate number of RSUs than we would ideally have issued for retention purposes in 2024, primarily due to available share constraints under our shareholder-approved incentive equity plan. As a result of the RSU Conversion mechanics and limitations our 2024 RSU grants, the perceived value to employees of these awards may be insufficient to retain certain key executives and other valuable employees, who may receive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For additional information, see - “Our business is subject to economic, political, regulatory, and other risks associated with international operations.”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business is subject to economic, political, regulatory, and other risks associated with international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For example, some parties with whom we have collaborative relationships are located outside the United States, including in the United Kingdom, Canada, South Korea and Israel. Additionally, while a significant majority of our supplier spend is with vendors located within the United States, whose products are produced in the United States, we also rely on suppliers and vendors located outside of the United States or who produce the products that we use outside the United States, including in China, Mexico, South Africa and various European Union member states. We expect to continue to increase our international presence over time, which could increase these risks or introduce new risks. Accordingly, our future results could be harmed by a variety of factors, including: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economic weakness, including inflation, or political instability, in particular non-U.S. economies and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83845"/>
                <wp:effectExtent l="0" t="0" r="0" b="0"/>
                <wp:wrapNone/>
                <wp:docPr id="91" name="Frame8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challenges enforcing our contractual and intellectual property rights, especially in those foreign jurisdictions that do not respect and protect intellectual property rights to the same extent as the United States;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trade protection measures, import or export controls and licensing requirements (including possible restrictions on licensing intellectual property to certain non-U.S. persons) or other restrictive actions by U.S. or non-U.S. governments;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changes in non-U.S. laws, regulations and customs, tariffs, and trade barriers;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changes in non-U.S. laws, regulations, and policies related to data privacy, data protection, and cybersecurity in the transfer or transmittal of data across boundaries and geographies;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exchange rate risk we may face from denominating a portion of our transactions in currencies other than the U.S. dollar;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changes in a specific country’s or region’s political or economic environment;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negative consequences from changes in tax laws;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negative consequences from changes in U.S. national security laws, including those governing non-U.S. investors’ ownership of U.S. biotech and other technology companies and U.S. companies’ ability to enter into joint ventures with non-U.S. entities;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compliance with tax, employment, immigration, and labor laws for employees living or traveling abroad, or for non-U.S. employees in the United States;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workforce uncertainty in countries where labor unrest is more common than in the United States;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difficulties associated with staffing and managing international operations, including differing labor relations;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potential liability under the Foreign Corrupt Practices Act (“FCPA”) or comparable foreign laws;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business interruptions resulting from geopolitical actions, including war and terrorism, such as recent conflicts in the Middle East like the war involving the United States, Israel and Iran, pandemics, or natural disasters more common in certain regions, including earthquakes, typhoons, floods, and fires;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negative consequences to our relationships with our customers, partners, and other collaborators in the event of impact to suppliers or our business internationally due to restrictive actions by U.S. or non-U.S. governments or changes in U.S. or non-U.S. laws.</w:t>
      </w:r>
    </w:p>
    <w:p>
      <w:pPr>
        <w:pStyle w:val="TextBody"/>
        <w:bidi w:val="0"/>
        <w:spacing w:lineRule="auto" w:line="26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in recent years, U.S. administrations, including the current administration, have publicly announced or adopted trade proposals that may affect U.S. trade relations with other countries. While we have not experienced significant impact from tariffs to date and do not have significant sensitivity to tariffs, it is uncertain at this point how, if at all, such actions or other potential actions, may impact our business or operations, in particular if there are changes in our supply chain, or tariffs if rates are increased or are more targeted at countries where our suppliers are located. Policy changes or legal challenges could lead to further volatility in rates, coverage, and enforcement. Such actions could increase our expenses, reduce our margins or increase our prices, make it difficult to obtain inputs we need for our products or have a material adverse effect on the broader economy. These risks and impacts may be exacerbated by retaliatory tariffs imposed by governments in response to any initial tariff policy. </w:t>
      </w:r>
    </w:p>
    <w:p>
      <w:pPr>
        <w:pStyle w:val="TextBody"/>
        <w:bidi w:val="0"/>
        <w:spacing w:lineRule="auto" w:line="26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success depends in part on our ability to attract and retain the best available personnel with the necessary qualifications, which in a competitive global market means that our recruitment efforts should not be limited entirely to the United States. To the extent U.S. immigration-related policies, laws, rules, proclamations or orders restrict our ability to attract, or increase the cost of attracting, international talent, this could adversely impact our business and results of operations. For example, on September 19, 2025, the H-1B visa process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83845"/>
                <wp:effectExtent l="0" t="0" r="0" b="0"/>
                <wp:wrapNone/>
                <wp:docPr id="92" name="Frame8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United States was changed to require a payment of $100,000 for new petitions, which could hamper our recruitment efforts for any new personnel who require such a visa or require significant additional employment costs for those individuals. Additional changes in U.S. immigration policies, rules, laws or orders could further increase our recruitment costs or delay key projects that require specialized expertise. In addition, restrictions or delays in the issuance of other visas or in immigration processing could adversely affect our ability to collaborate effectively with our employees outside the United States and to retain the qualified personnel needed for our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Moreover, future operational expansion into other geographies will subject us to additional political and regulatory regimes that will require us to invest further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potential commercialization of Galleri with the NHS, subject to the full results of the NHS-Galleri Trial which we expect to report in mid-2026, will be considered by the government of the United Kingdom and may be delayed or otherwise impacted depending on the circumstances and the composition of the government at the time of consideration. These and other risks associated with our planned international operations may materially and adversely affect our business, costs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also face risks from our international operations for Galleri, our precision oncology portfolio and other products we may develop. Our clinical trials to date have been conducted in the United States and the United Kingdom, and use of our tests in populations outside of these regions could result in differences in performance. Any performance differences experienced in screening populations outside of the United States or United Kingdom could result in customer dissatisfaction, reputational harm, real world data or adverse events that would be reportable to the FDA or other regulators, regulatory actions by regulators in international jurisdictions and other risks, all of which could have a material and adverse impact on our business, regulatory pathway, results of operations and growth prospects.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For additional information, see “—Risks Relating to Regulation and Legal Compliance.”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information technology systems, or those used by our third-party collaborators or other contractors or consultants, may fail or suffer cybersecurity incidents or cyberattacks.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(“Confidential Information”). As we expand our direct engagement with patients, our data collection, processing, and storage activities may increase in volume and complexity, including the creation of additional copies of patient data across systems and platforms, heightening the risk of unauthorized access, disclosure, or misuse of patient information. It is critical that we do so in a secure manner to maintain the confidentiality and integrity of such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83845"/>
                <wp:effectExtent l="0" t="0" r="0" b="0"/>
                <wp:wrapNone/>
                <wp:docPr id="93" name="Frame8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misconfigurations, “bugs” or other vulnerabilities, denial or degradation of service attacks,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We have also outsourced elements of our information technology infrastructure, and as a result a number of third-party vendors may or could have access to our confidential information. As we increasingly leverage third-party digital health platforms and service providers to support our operations and patient-facing capabilities, we may become subject to cybersecurity risks outside of our direct control. As a part of these relationships, these third parties may store or process certain types of confidential or patient data. These third parties may not maintain cybersecurity practices, expertise, certifications, or controls that are equivalent to our own, which could increase the risk of security incidents, data breaches, or service disruptions that could adversely affect our business, operations, or reputation.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risk of a cybersecurity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incident affecting our or their information technology systems or data, the costs associated with the investigation, remediation, and potential notification of the incident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an incident affecting personal information has occurred and/or to provide notice and, in some circumstances, one year of credit monitoring services to individuals whose personal information has been impacted as a result of such incident. As part of our growth strategy, we have expanded into multiple jurisdictions outside of the United States, including the United Kingdom, Canada, and Israel, and intend to continue expansions in 2026 and beyond, including through our partnership with Samsung. This growth will subject us to additional regulatory regimes and increase the amount of cybersecurity requirements for compliance in multiple geographies. Complying with such numerous and complex regulations in the event of a cybersecurity breach would be expensive and difficult, and failure to comply could subject us to regulatory scrutiny and additional liability. In addition, our remediation efforts may not be successful. Data protection laws and regulations often require appropriate, reasonable or adequate technical and organizational security measures, and the interpretation and application of those laws and regulations are often uncertain and evolving. There can be no assurance that our security measures will be deemed adequate, appropriate or reasonable by a regulator or court. Moreover, even security measures that are deemed appropriate, reasonable, or otherwise in accordance with applicable legal requirements may not be able to protect the information we maintain.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Due to the technical nature of cybersecurity work, it is important for GRAIL to employ highly skilled cybersecurity professionals. If we fail to identify and retain qualified key personnel in these areas or fail to appropriately allocate responsibilities or dedicate sufficient headcount or resources to these areas, the quality of our cybersecurity efforts may be compromised. Even if we do allocate and effectively manage the resources necessary to build and sustain the proper technology and cybersecurity infrastructure, we could nevertheless suffer significant business disruption, including transaction errors, supply chain or manufacturing interruptions, processing inefficiencies, data loss, or the loss of or damage to intellectual property or other confidential or proprietary information.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a part of our cybersecurity program, we conduct a number of internal evaluations and independent, external third-party audits and reviews, including under the NIST CSF 2.0 and NIST Privacy Frameworks, along with our annual reviews under ISO 27001, SOC2 Type 2, PCI DSS, HIPAA, and other standards, in order to identify capabilities, gaps, and recommendations for improvement, and to compare our cybersecurity program to applicable requirements. These assessments generate findings and opportunities that we integrate into a formal remediation roadmap designed to mature our security posture and drive continuous improvement. However, these improvements and maturation efforts require sustained resource allocation and may span multiple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83845"/>
                <wp:effectExtent l="0" t="0" r="0" b="0"/>
                <wp:wrapNone/>
                <wp:docPr id="94" name="Frame8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cycles. Failure to execute remediations effectively or within established timelines could result in persistent control deficiencies, increasing our exposure to regulatory sanctions, cybersecurity incidents, or data breaches, which would amplify the risks otherwise described.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along with companies with whom we engage in data sharing, including our service providers, are from time to time subject to cyberattacks and other cybersecurity incidents. While we do not believe that we have experienced any significant system failure, or cybersecurity incident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 cybersecurity incident or attack,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Further,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Confidential Information. To the extent that any disruption or cybersecurity incident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 While we may be entitled to damages if our third-party partners, vendors, or suppliers fail to satisfy their security-related obligations, any award may be insufficient to cover our damages, or we may be unable to recover such award. 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In particular, developments in artificial intelligence tools and computing power are likely to increase the frequency and effectiveness of attacks. We may also experience cybersecurity incidents that may remain undetected for an extended period. Even if identified, we may be unable to adequately investigate or remediate cybersecurity incidents due to attackers increasingly using tools and techniques – including artificial intelligence – that are designed to circumvent controls, to avoid detection, and to remove or obfuscate forensic evidence.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While we maintain cybersecurity insurance, our insurance policies may not be adequate to compensate us for the potential losses arising from such disruptions, failure, or cybersecurity incidents.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83845"/>
                <wp:effectExtent l="0" t="0" r="0" b="0"/>
                <wp:wrapNone/>
                <wp:docPr id="95" name="Frame8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are sued for product or professional liability, we could face substantial liabilities that exceed our resources and insurance coverage.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 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quarterly results of operations may fluctuate significantly or may fall below the expectations of investors or securities analysts, each of which may cause our stock price to fluctuate or decline.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expect our results of operations to be subject to quarterly fluctuations. Our net loss and other operating results will be affected by numerous factors, including:</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our ability to successfully develop, market, and sell our products, including Galleri, our precision oncology portfolio and any of our future products if and when launched;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changes in strategic focus or priorities;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prices at which we are able to sell our products;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impact of market developments or our response thereto;</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disruptions in our business due to manufacturing, supply, cybersecurity breaches, outages, or other issues;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cost of performing next-generation sequencing;</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timing and amount of royalty payments, including the expected end of the suspension period of the Illumina royalty on December 24, 2026;</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extent to which our products are deemed eligible or ineligible for coverage and reimbursement from third-party payors;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changes in coverage and reimbursement or in reimbursement-related laws directly affecting our business;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our ability to obtain regulatory approval for our products, and the degree of impact of those approvals on perceptions of our products and market demand;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regulatory developments affecting our products or any future competing products;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timing of investments in our laboratories and other infrastructure;</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timing of expenditures in connection with our clinical studies;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success of our international expansion efforts;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83845"/>
                <wp:effectExtent l="0" t="0" r="0" b="0"/>
                <wp:wrapNone/>
                <wp:docPr id="96" name="Frame8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non-routine cash and non-cash expenses and write-offs, whether associated with acquisitions, restructuring activities, litigation, investigations, or otherwise.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may experience this seasonality in particular in the third quarter due to primary care physician and patient summer vacation periods. We believe that quarterly comparisons of our financial results are not necessarily meaningful and should not be relied upon as an indication of our future performance.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Acquisitions or other strategic transactions may increase our capital requirements, dilute our stockholders, cause us to incur debt or assume contingent liabilities, and subject us to other risks.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increased operating expenses and cash requirements;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assumption of indebtedness or contingent liabilities;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issuance of our equity securities that would result in dilution to our stockholders;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assimilation of operations, intellectual property, and products of an acquired company;</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difficulties associated with integrating new personnel;</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retention of key employees, the loss of key personnel, and uncertainties in our ability to maintain key business relationships;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diversion of our management’s attention from our existing product programs and initiatives in pursuing such an acquisition or strategic partnership;</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inability to consummate acquisitions on which we spend a significant amount of time and resources;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possible write-offs or impairment charges relating to acquired businesses; and</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our inability to generate revenue from acquired intellectual property, technology, or tests sufficient to meet our objectives or offset the associated transaction costs.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as our strategy evolves, we may opt to discontinue, deprioritize, or dispose of assets, technologies, or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83845"/>
                <wp:effectExtent l="0" t="0" r="0" b="0"/>
                <wp:wrapNone/>
                <wp:docPr id="97" name="Frame8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have and may continue to become subject to securities class action lawsuits, investigations initiated by regulators and law firms, and derivative or other similar litigation, any or all of which, individually or in the aggregate, could have a material adverse effect on our business, financial condition and results of operations.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We have and may continue to become subject to securities class action lawsuits, investigations initiated by regulators and law firms, and derivative or other similar litigation that can be expensive, divert management attention and human and financial capital to less productive uses and result in potential reputational damage. These lawsuits, claims and investigations may be related to regulatory or other matters, privacy, intellectual property, and/or employment matters, or any other aspect of our business.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For example, since the Acquisition of our business by Illumina in 2021, the Acquisition has been subject to various legal challenges, including by the FTC and the European Commission. As a result, we have been a party, together with Illumina and as a separate party, to a number of regulatory and administrative proceedings regarding the Acquisition, including ongoing proceedings and proceedings in which we have filed separate appeals. In addition, we have intervened in certain procedures in support of Illumina. Following completion of the Spin-Off we and Illumina sought dismissal of the FTC’s complaint on July 30, 2024, and on August 15, 2024, the FTC dismissed without prejudice the complaint on the basis that the Spin-Off effectively abandoned the transaction giving rise to the complaint. On September 3, 2024, the European Court of Justice annulled the European Commission’s decision to review Illumina’s acquisition of Grail on the basis the European Commission did not have the jurisdiction to do so. With the completion of the Spin-Off, the dismissal by the FTC and the annulment of the European Court of Justice, the Company believes these matters are substantially concluded. However, we may continue to be involved in litigation proceedings related to the FTC’s or the European Commission’s actions related to the Acquisition. We may also be a party or otherwise involved in new litigation proceedings regarding the Acquisition. For example, in July 2023, Illumina was informed that the staff of the SEC was conducting an investigation relating to Illumina and was requesting documents and communications primarily related to Illumina’s acquisition of GRAIL and certain statements and disclosures concerning GRAIL, our products and the Acquisition, and related to the conduct and compensation of certain members of Illumina and GRAIL management, among other things. On May 9, 2025, the Company confirmed with the SEC that the SEC has closed its investigation into this matter.</w:t>
      </w:r>
    </w:p>
    <w:p>
      <w:pPr>
        <w:pStyle w:val="TextBody"/>
        <w:bidi w:val="0"/>
        <w:spacing w:lineRule="auto" w:line="288" w:before="240" w:after="240"/>
        <w:ind w:left="0" w:right="0" w:firstLine="450"/>
        <w:jc w:val="left"/>
        <w:rPr/>
      </w:pPr>
      <w:r>
        <w:rPr>
          <w:rFonts w:ascii="Arial;sans-serif" w:hAnsi="Arial;sans-serif"/>
          <w:b w:val="false"/>
          <w:color w:val="000000"/>
          <w:sz w:val="20"/>
        </w:rPr>
        <w:t xml:space="preserve">In addition, our acquisition by Illumina and subsequent litigation resulted in the filing of three securities class actions in the United States District Court for the Southern District of California: Kangas v. Illumina, Inc. et al., Roy v. Illumina, Inc. et al., and Louisiana Sheriffs’ Pension &amp; Relief Fund v. Illumina, Inc. et al. (collectively, the “Actions”). The complaints generally allege, among other things, that defendants made materially false and misleading statements and omitted material facts relating to Illumina’s acquisition of GRAIL. The complaints seek unspecified damages, interest, fees, and costs. On January 9, 2024, four movants filed motions to consolidate the Actions and to appoint a lead plaintiff (“Lead Plaintiff Motions”). On April 11, 2024, the Court issued an order consolidating the Actions into a single action (captioned in re Illumina, Inc. Securities Litigation No. 23-cv-2082-LL-MMP), and appointed Universal-Investment-Gesellschaft mbH, UI BVK Kapitalverwaltungsgesellschaft mbH, and ACATIS Investment Kapitalverwaltungsgesellschaft mbH as lead plaintiffs. (the "Lead Plaintiffs). On June 21, 2024, the Lead Plaintiffs filed their consolidated amended complaint. The amended complaint alleges that GRAIL, in addition to Illumina, and certain of their respective current and former directors and others violated sections 10(b) and 20(a) of the Exchange Act and SEC Rule 10b-5 in connection with Illumina's acquisition of GRAIL. On September 13, 2024 the plaintiffs further amended the complaint. On November 12, 2024, we moved to dismiss Lead Plaintiffs’ second amended complaint for failure to state a claim under Sections 10(b) and 20(a) of the Exchange Act. Lead Plaintiffs filed their opposition to the motion to dismiss on December 20, 2024, and we filed our reply in support of its motion to dismiss on February 3, 2025. On September 26, 2025, the court granted the motion to dismiss for failure to state a claim with leave to amend, and ordered the plaintiffs to file an amended complaint. On October 27, 2025, the Lead Plaintiffs filed their third amended complaint and on December 12, 2025, we filed a motion to dismiss Lead Plaintiffs’ third amended complaint. We deny the allegations in the complaints and intend to vigorously defend the litigation. See </w:t>
      </w:r>
      <w:r>
        <w:rPr>
          <w:rFonts w:ascii="Arial;sans-serif" w:hAnsi="Arial;sans-serif"/>
          <w:b w:val="false"/>
          <w:i/>
          <w:color w:val="000000"/>
          <w:sz w:val="20"/>
        </w:rPr>
        <w:t>Note 11 — Legal And Regulatory Proceedings</w:t>
      </w:r>
      <w:r>
        <w:rPr>
          <w:color w:val="000000"/>
        </w:rPr>
        <w:t xml:space="preserve"> </w:t>
      </w:r>
      <w:r>
        <w:rPr>
          <w:rFonts w:ascii="Arial;sans-serif" w:hAnsi="Arial;sans-serif"/>
          <w:b w:val="false"/>
          <w:color w:val="000000"/>
          <w:sz w:val="20"/>
        </w:rPr>
        <w:t>in Item 8. Financial Statements of this Annual Report on Form 10-K for additional details. In the event that any of the matters described above result in one or more adverse judgments or settlements, we may experience an adverse impact on our financial condition, results of operations 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83845"/>
                <wp:effectExtent l="0" t="0" r="0" b="0"/>
                <wp:wrapNone/>
                <wp:docPr id="98" name="Frame9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Lawsuits and other proceedings have in the past and may in the future result in us incurring significant expenses in settlement and litigation costs. Any negative outcome from any such lawsuits or claims could result in payments of substantial monetary damages or fines, or undesirable changes to our products or business practices and, accordingly, our business, results of operations, financial condition, or prospects could be adversely affected. There can be no assurances that a favorable final outcome will be obtained in any or all instances, and defending any lawsuit, even unmerited claims, is costly and can impose a significant burden on management and employees. Any litigation to which we are a party may result in an onerous or unfavorable judgment that may not be reversed upon appeal or in payments of substantial monetary damages or fines, or we may decide to settle lawsuits on similarly unfavorable terms, which could adversely affect our business, results of operations, financial condition, and prospects.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Regulation and Legal Compliance</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Arial;sans-serif" w:hAnsi="Arial;sans-serif"/>
          <w:b/>
          <w:i/>
          <w:color w:val="000000"/>
          <w:sz w:val="20"/>
        </w:rPr>
      </w:pPr>
      <w:r>
        <w:rPr>
          <w:rFonts w:ascii="Arial;sans-serif" w:hAnsi="Arial;sans-serif"/>
          <w:b/>
          <w:i/>
          <w:color w:val="000000"/>
          <w:sz w:val="20"/>
        </w:rPr>
        <w:t>We have launched Galleri as an LDT in the United States. In 2024, the FDA finalized a regulation that has been successfully challenged in federal court, pursuant to which the FDA planned to subject LDTs to medical device requirements through a phase-out of its historical policy of enforcement discretion over LDTs over a period of four years. A federal court recently vacated this rule.</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While we recently submitted our PMA seeking regulatory approval from the FDA for Galleri, we initially launched Galleri in the United States as an LDT in 2021. LDTs are in vitro diagnostic (“IVD”) tests that are intended for clinical use and are designed, manufactured, and used within a single laboratory certified for high complexity testing under CLIA. The FDA historically exercised enforcement discretion with respect to LDTs, pursuant to which it did not seek to enforce certain potentially applicable FDA requirements, including premarket review, with certain exceptions.</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Even under that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prior enforcement discretion policy.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Even for those LDTs that were subject to the historical enforcement discretion policy, the FDA for a number of years stated its intention to modify this policy and impose applicable medical device requirements to LDTs more broadly. To this end, on May 6, 2024, the FDA issued a final rule in an effort to clarify the FDA’s historical view that LDTs are medical devices subject to the requirements applicable to other IVDs (the “LDT Final Rule”), and to phase out its enforcement discretion policy over a period of four years from issuance of the LDT Final Rule.</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However, on March 31, 2025, the United States District Court for the Eastern District of Texas vacated the LDT Final Rule, reasoning that LDTs are not medical devices, and remanded the matter to the FDA for further consideration. The decision was not appealed, and in September 2025, the FDA rescinded the LDT Final Rule. Accordingly, it is uncertain whether or when the FDA may be able to otherwise exercise its medical device authority with respect to LDTs. This uncertainty could adversely affect the FDA’s ability to apply and enforce its medical device requirements with respect to any LDTs for which a sponsor may plan to obtain a PMA. Such uncertainty and the FDA’s actions in response could have a material adverse effect on our business and operations.</w:t>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In light of this uncertainty, we do not know if or when our offerings could become or will remain subject to FDA medical device requirements, including the need to seek and obtain marketing authorization. If we were unable to comply with any medical device requirements applicable to LDTs if and when any such requirements become applicable, we could be required to cease marketing any solutions that we market as LDTs. In addition, further efforts by the FDA or Congress to impose more regulation on LDTs could create a negative public perception about the validity, safety, effectiveness, or performance of LDTs, including our solutions, which could adversely affect patient, provider, and customer perception about, and confidence in, our solutions.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Notwithstanding the withdrawal of the LDT Final Rule, the FDA may assert that we are improperly marketing our tests, including Galleri, as LDTs and may assert we do not comply with applicable medical device requirements, and in such cases may take enforcement action against us and/or require us to seek premarket review and obtain marketing authorizations, which may require that we cease marketing any LDT products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83845"/>
                <wp:effectExtent l="0" t="0" r="0" b="0"/>
                <wp:wrapNone/>
                <wp:docPr id="99" name="Frame9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such marketing authorizations are obtained or the relevant applications are submitted. There can be no assurance that we will be able to obtain any required marketing authorization for our tests or that any labeling claims will be consistent with the claims we have made or intend to make for such products when launched as LDTs, or that such claims would be adequate to support continued adoption of and reimbursement for our products. In the event we are required to seek FDA marketing authorization for any current or planned products,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could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new versions of existing products, or significantly narrowing their intended uses, could negatively impact our financial condition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in vitro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legislative proposals such as the VALID Act (including any proposals that would, in contrast, reduce FDA oversight of LDTs) will be introduced or passed by Congress or signed into law by the President. Depending on the approach adopted under any potential legislation or regulation,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 Additionally, as a result of the District Court decision the regulatory environment around LDTs could be significantly relaxed, which could increase competition and reduce the effectiveness of our regulatory and reimbursement strategy.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While we have submitted a PMA to the FDA for approval of Galleri, we have not yet obtained FDA clearance or approval for any of our products or products in development and we currently market Galleri as an LDT. We may also seek FDA approval or clearance for other products in the future.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83845"/>
                <wp:effectExtent l="0" t="0" r="0" b="0"/>
                <wp:wrapNone/>
                <wp:docPr id="100" name="Frame9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Before a new medical device can be marketed in the United States, a company must first submit an application for and receive 510(k) clearance pursuant to a premarket notification submitted under Section 510(k) of the FDCA, approval of a PMA, or grant of a de novo classification request from the FDA, unless an exemption applies.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PMA approval process can be expensive, lengthy and uncertain. The process of obtaining a PMA is costly and uncertain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United States, any modification to a product for which we receive marketing authorization may require us to submit a PMA and obtain FDA approval prior to implementing the change. For example, certain modifications to a PMA-approved device may require approval of a new PMA or a PMA supplement, or alternatively a notification or other submission to the FDA. If we obtain PMA approvals from the FDA, we may make modifications or add additional features in the future that we believe do not require approval of a PMA or supplement or other regulatory submission.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we are or may become subject to new laws, regulations, and industry standards concerning medical devices proposed and enacted in various foreign jurisdictions. The EU regulatory landscape concerning IVDs evolved and continues to undergo legislative change.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83845"/>
                <wp:effectExtent l="0" t="0" r="0" b="0"/>
                <wp:wrapNone/>
                <wp:docPr id="101" name="Frame9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fail to comply with applicable laws and regulations, we would be unable to affix the CE mark to our products, which would prevent us from selling them within the EU, and any delays in coming into compliance with these laws and regulations could prevent or delay our ability to launch Galleri in Europe. The aforementioned EU rules are generally applicable in the EEA (which consists of the 27 EU member states plus Iceland, Norway and Liechtenstein, and also generally applicable in Türkiye). Non-compliance with the above requirements would also prevent us from selling our products in these three countries.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 Furthermore, on December 16, 2024, the UK government passed an amendment to the UK MDR to clarify and strengthen the post-market surveillance requirements for medical devices (including IVDs) in Great Britain. This amendment became applicable on June 16, 2025. In addition, the MHRA launched a consultation from November 14, 2024 to January 5, 2025 on proposed changes to the pre-market requirements for medical devices in Great Britain. On July 22, 2025, the MHRA published a response to the consultation confirming that it will incorporate feedback to this consultation into new UK legislation on pre-market requirements for medical devices in Great Britain. A draft of the new legislation is expected to be published in 2026. Under the UK MDR, in order to be lawfully placed on the Great Britain market, Class A (non-sterile) IVDs need to be United Kingdom Conformity Assessment (“UKCA”) certified by a UK approved body. However, certain IVDs in compliance with: (a) the EU IVDD can continue to be placed on the Great Britain market until the sooner of certificate expiration or June 30, 2030; and (b) the EU IVDR can continue to be placed on the Great Britain market until June 30, 2030. IVDs also need to bear a physical UKCA mark in order to be lawfully placed on the Great Britain market. We have UKCA self-certified our Galleri test and it bears a UKCA mark. However, the MHRA has confirmed in its response to the consultation on pre-market requirements for medical devices in Great Britain that it intends to remove the requirement for a medical device or an IVD and their labelling (i.e. packaging and instructions for use) in Great Britain to bear a physical UKCA mark. Instead of requiring a medical device or an IVD and their labelling to bear a UKCA mark, manufacturers would be required to assign a unique design identification (“UDI”) to such devices and register the UDI in a publicly accessible database before they are placed on the Great Britain market. If this change is implemented, we may no longer be required to affix the physical UKCA mark to our devices, but we may need to assign and affix a UDI and register the UDI in a publicly accessible database. Understanding and ensuring compliance with any new requirements is likely to lead to further complexity and increased costs to our business.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It is currently unclear to what extent the UK government will seek to align new UK legislation on pre-market requirements for medical devices in Great Britain with the EU. The EU laws that have been transposed into UK law through secondary legislation remain applicable in Great Britain, however the full extent of the new UK legislation on pre-market requirements for medical devices in Great Britain remains uncertain and may cause additional cost to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FDA, other regulators or notified bodies can delay, limit, or deny clearance, approval, or certification of a product for many reasons, including but not limited to the following:</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disagreement with the design, implementation, or results of, or interpretation of the data from, our clinical studies;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determination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disagreement with our interpretation of data from clinical studies or may fail to accept data from clinical studies (or clinical sites), including if we fail to establish the integrity of our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83845"/>
                <wp:effectExtent l="0" t="0" r="0" b="0"/>
                <wp:wrapNone/>
                <wp:docPr id="102" name="Frame9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89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determination that our clinical studies otherwise fail to comply with applicable regulations, including good clinical practice requirements;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serious or unexpected adverse effects or other performance issues are identified with our existing or future products;</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determination that our manufacturing or quality system fails to comply with applicable regulations or otherwise fails to meet the standards necessary to support approval or certification; and</w:t>
      </w:r>
    </w:p>
    <w:p>
      <w:pPr>
        <w:pStyle w:val="TextBody"/>
        <w:bidi w:val="0"/>
        <w:spacing w:lineRule="auto" w:line="288" w:before="240" w:after="283"/>
        <w:ind w:left="0" w:right="0" w:hanging="303"/>
        <w:jc w:val="left"/>
        <w:rPr/>
      </w:pPr>
      <w:r>
        <w:rPr>
          <w:color w:val="000000"/>
        </w:rPr>
        <w:t>•</w:t>
      </w:r>
      <w:r>
        <w:rPr>
          <w:rFonts w:ascii="Arial;sans-serif" w:hAnsi="Arial;sans-serif"/>
          <w:b w:val="false"/>
          <w:color w:val="000000"/>
          <w:sz w:val="20"/>
        </w:rPr>
        <w:t>the approval (or certification) policies or regulations of the FDA or comparable foreign regulatory authorities may significantly change in a manner rendering our clinical data insufficient for approval or certification.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engaged in discussions with the FDA regarding the clinical studies and data that would be needed to support a successful PMA for a multi-cancer test for our targeted indications, based on the designs of our current and planned clinical studies. Notwithstanding any FDA feedback,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As part of our PMA submission to the FDA for Galleri, we included a bridging analysis between the version of Galleri used in the PATHFINDER 2 study and NHS-Galleri Trial and the version we have submitted to the FDA for PMA approval. The results of this bridging analysis will likely impact any labeling claims, and may differ from previously reported performance results from those studies.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83845"/>
                <wp:effectExtent l="0" t="0" r="0" b="0"/>
                <wp:wrapNone/>
                <wp:docPr id="103" name="Frame9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multi-cancer detection tests are a new approach to cancer screening, which present a number of novel and complex issues for FDA review. Because the FDA has never cleared or approved a multi-cancer detection test, we cannot provide assurances regarding what information we will need to submit to obtain approval of a PMA from the FDA for a proposed intended use, or if we will be able to obtain such approval on a timely basis or at all.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on November 29, 2023, the FDA held a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 and as such we cannot provide assurances what information we will need to submit to obtain approval of a PMA from the FDA for a proposed intended use. Similarly, other companies seeking to develop a multi-cancer early detection test would need to satisfy these requirements in order to obtain approval of a PMA from the FDA, and to the extent the requirements that the FDA adopts are less stringent than we expect, it may be easier for potential competitors to enter this market.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Given the novel nature and complexity of our multi-cancer detection tests, and the fact that the FDA has never granted marketing authorization for a multi-cancer detection test, we cannot be certain whether we will receive FDA approval for Galleri and we cannot provide assurances that the studies we have conducted, are currently conducting, or plan to conduct, will be sufficient to provide the data that the FDA requires to support a proposed intended use. For example, we provided results from our PATHFINDER 2 study and NHS-Galleri Trial to support our PMA, as well as supplemental data from other clinical studies, and certain clinical data in the post-approval setting. We may be required to conduct additional studies or expand the enrollment of completed or ongoing studies to support approval of a PMA, as study design and enrollment continue to be discussed with the FDA. The FDA may require us to perform new analyses of our clinical data. These and other efforts that we may be required to undertake could delay the review of our PMA or delay or prevent approval, lead to a more limited intended use statement or approved labeling, and/or lead to significant post-approval limitations or restrictions, if approval is obtained at all. If the FDA determines that the data we submitted in our PMA are insufficient to support approval of our proposed intended use, the FDA’s review of the application could be delayed and we need to generate more data from additional participants, in which case we may not receive approval or may receive an inadequate approved label, and may need to resubmit a PMA or supplement following completion of additional new or expanded clinical studies.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use and disclosure of personal information, including individually identifiable health information, and biological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disclose personal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83845"/>
                <wp:effectExtent l="0" t="0" r="0" b="0"/>
                <wp:wrapNone/>
                <wp:docPr id="104" name="Frame9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receive, store, process and disclose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health-related information. We are a covered entity under the Health Insurance Portability and Accountability Act of 1996, as amended by the Health Information Technology for Economic and Clinical Health Act, and the regulations implemented thereunder (collectively, “HIPAA”). HIPAA establishes, among other things, a set of national privacy and security standards 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(“PHI”), and the subcontractors of such business associates. In addition, we may obtain health information from third parties (including research institutions from which we obtain clinical trial data) that are subject to privacy and security requirements under HIPAA.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HIPAA requires covered entities and business associates to develop and maintain policies with respect to the protection of, use and disclosure of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are and will continue to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83845"/>
                <wp:effectExtent l="0" t="0" r="0" b="0"/>
                <wp:wrapNone/>
                <wp:docPr id="105" name="Frame9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and potential business process changes may also be required as the statute and regulations continue to evolve. Although there are limited exemptions for certain health-related data, including clinical trial data and PHI subject to HIPAA, the CCPA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pStyle w:val="TextBody"/>
        <w:bidi w:val="0"/>
        <w:spacing w:lineRule="auto" w:line="26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expect that there will continue to be new laws, regulations and industry standards concerning privacy, data protection and information security proposed and enacted in various jurisdictions. For example, Washington State has enacted a broadly applicable law to protect the privacy of personal health information known as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but not limited to, Connecticut, Virginia and Nevada, have also passed laws governing the privacy of consumer health data,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pStyle w:val="TextBody"/>
        <w:bidi w:val="0"/>
        <w:spacing w:lineRule="auto" w:line="26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Federal Trade Commission (“FTC”) also has authority to initiate enforcement actions against entities that mislead customers about HIPAA compliance, make deceptive statements about privacy and data sharing in privacy policies, fail to limit third-party use of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health-related and other personal information through websites or otherwise, and to regulate the presentation of website content.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conduct of clinical research, we seek to utilize biological samples and data from participants in accordance with applicable law, IRB stipulations, and participant permissions (through consent forms and HIPAA authorizations) or IRB approved waivers thereof. If we are unable or significantly restricted in using participant samples and data for secondary research purposes, our ability to develop additional products and/or improve or refine existing products will be limited, which may impact our business and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we are or may in the future be subject to a range of laws, regulations, and industry standards concerning privacy, data protection, and information security proposed and enacted in various foreign jurisdictions. In Europe, we are subject to the UK GDPR and EU GDPR. The GDPR imposes a comprehensive data privacy compliance regime including: maintaining a record of data processing; providing detailed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83845"/>
                <wp:effectExtent l="0" t="0" r="0" b="0"/>
                <wp:wrapNone/>
                <wp:docPr id="106" name="Frame9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about how personal information is collected and processed (in a concise, intelligible and easily accessible form); demonstrating that appropriate legal bases are in place to justify data processing activities; complying with rights 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Among other requirements, the GDPR regulates the transfer of personal information outside of the EEA and the UK and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we may have to implement alternative data transfer mechanisms under the GDPR and/ or take additional compliance and operational measures; and/or it could otherwise affect the manner in which we provide our services, and could adversely affect our business, operations and financial condition.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those regimes independently and in respect of the same non-compliance. As we continue to expand into other foreign countries and jurisdictions, we may be subject to additional laws and regulations that may affect how we conduct business. In addition to potential fines, noncompliance with applicable foreign privacy laws, such as the GDPR, may result in regulatory investigations, orders to cease/ change our data processing activities, enforcement notices, assessment notices (for a compulsory audit), civil claims (including class actions) and/or damage to the public perception of GRAIL’s data stewardship practices and policies, which could impair our business and prospects with other foreign health systems and governments.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business may be affected by the evolving regulatory framework for AI Technologies.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regulatory framework for artificial intelligence (“AI”), machine learning, and automated decision-making technologies (collectively,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83845"/>
                <wp:effectExtent l="0" t="0" r="0" b="0"/>
                <wp:wrapNone/>
                <wp:docPr id="107" name="Frame9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or our partners fail to comply with federal, state, and foreign laboratory and other applicable licensing and registration requirements, we could be prevented from performing our tests or experience disruptions to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hold a CLIA certificate from CMS for our laboratory in Durham, North Carolina to conduct high complexity testing, subject to inspection to determine compliance with the CLIA regulations. We also hold a CAP accreditation for our Durham facility. Certain product additions to our test menu require notification to the regulatory and accrediting bodies that regulate our laboratory (e.g., CMS, the California Department of Public Health Laboratory Field Services (“CALFS”) and CAP) that we are adding a new specialty to our assay offerings. At their discretion, any regulatory or accrediting body may come on-site to inspect our laboratory at any time. Any failure to pass inspections, maintain our CLIA certificate, CAP accreditation, or state licenses, or add new validated products to our laboratory assay offerings could significantly harm our business, results of operations, and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obtaining federal certification for a laboratory under CLIA, we are also required to obtain and maintain state licenses to conduct testing in our laboratory. We have obtained a Clinical Laboratory Certificate of Deemed Status from the State of California Department of Public Health for our Durham, North Carolina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 specimens originating in such states. For example, to be able to receive specimens originating from New York, we must maintain a NYSDoH clinical laboratory permit and obtain approval of Galleri, which we achieved. Research testing, however, does not require licensure if patient-specific results are not generated and/or returned for diagnostic purposes. We have obtained NYSDoH clinical laboratory permits for our Durham facility for our initial commercial version of Galleri and approval for our new version of Galleri, which authorize us to accept and generate for diagnosis or treatment purposes patient-specific results on specimens originating from New York at the applicable facility, as well as having obtained NYSDoH approval (or, with respect to the new version of Galleri, conditional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 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laboratory and offer our products in full or in particular states, which would adversely impact our business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83845"/>
                <wp:effectExtent l="0" t="0" r="0" b="0"/>
                <wp:wrapNone/>
                <wp:docPr id="108" name="Frame10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operations. Even if we were able to bring our laboratory back into compliance, we could incur significant expenses and potentially lose revenue in doing so.</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example, we recently announced the topline results of our NHS-Galleri Trial in the United. In May 2024, the NHS determined, based on data from an early analysis of Galleri test performance results in the intervention arm from the prevalent screening round of the NHS-Galleri Trial, not to initiate an implementation pilot in England prior to the final trial results. We submitted to NHS England and to the FDA information from the prevalent screening round. Various factors are likely to cause the final results to differ from the prevalent screening round results. Further, it is possible that the early preliminary, interim or final data may not be as we expect, may be inconsistent with prior NHS-Galleri Trial data, or with other studies we have conducted, or may be unsuitable to the NHS or the FDA. Importantly, preliminary or interim data may be focused on different endpoints than the overall study. The prevalent screening round results that we announced and provided to the NHS and FDA were predominantly focused on performance characteristics of the Galleri test, whereas the primary endpoint and a number of secondary endpoints of the trial were focused on clinical utility measures like cancer stage shift that can only be measured through annual testing over a number of years. Similarly, in October 2025, performance and safety results from the first approximately 25,000 participants of the PATHFINDER 2 study were presented at the ESMO Congress 2025. PATHFINDER 2 was initiated in 2021 to evaluate the safety and performance of the Galleri test when added to standard of care single cancer screening in 35,878 adults aged 50 years and older with no clinical suspicion of cancer. Results from the full approximately 35,000 participants in the PATHFINDER 2 study were generally consistent with the results presented at ESMO. While we did not include full performance and safety data from the additional 10,000 patients in our initial PMA submission, it is possible that the FDA could require these data to confirm study performance. Any unexpected, unsuitable, or inconsistent results could have a significant adverse impact on the success of our commercial efforts for Galleri, our ability to achieve FDA authorization at all or within our anticipated timelines, our ability to achieve CMS or private payor reimbursement or coverage, our brand and reputation, our business, and our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regulatory clearance or approval or commercialize a particular product and our company in general. In addition, the information we choose to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83845"/>
                <wp:effectExtent l="0" t="0" r="0" b="0"/>
                <wp:wrapNone/>
                <wp:docPr id="109" name="Frame10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restrictions on operations of our laboratories;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restrictions on manufacturing processes;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restrictions on marketing of a product;</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Untitled or Warning letters;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withdrawal or recall of the product from the market or seizure of the product;</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refusal to approve applications or supplements to approved applications that we may submit;</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fines, restitution or disgorgement of profits or revenue;</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suspension, limitation or withdrawal of regulatory approvals, clearances, or certifications;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exclusion from participation in U.S. federal or state healthcare programs, such as Medicare and Medicaid;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83845"/>
                <wp:effectExtent l="0" t="0" r="0" b="0"/>
                <wp:wrapNone/>
                <wp:docPr id="110" name="Frame10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safety communications;</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refusal to permit the import or export of our product;</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injunctions; or</w:t>
      </w:r>
    </w:p>
    <w:p>
      <w:pPr>
        <w:pStyle w:val="TextBody"/>
        <w:bidi w:val="0"/>
        <w:spacing w:lineRule="auto" w:line="288" w:before="240" w:after="283"/>
        <w:ind w:left="0" w:right="0" w:hanging="302"/>
        <w:jc w:val="left"/>
        <w:rPr/>
      </w:pPr>
      <w:r>
        <w:rPr>
          <w:color w:val="000000"/>
        </w:rPr>
        <w:t>•</w:t>
      </w:r>
      <w:r>
        <w:rPr>
          <w:rFonts w:ascii="Arial;sans-serif" w:hAnsi="Arial;sans-serif"/>
          <w:b w:val="false"/>
          <w:color w:val="000000"/>
          <w:sz w:val="20"/>
        </w:rPr>
        <w:t>imposition of civil or criminal penalties.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of these sanctions could result in higher than anticipated costs or lower than anticipated sales and have a material adverse effect on our reputation, business, financial condition and results of operations.</w:t>
      </w:r>
    </w:p>
    <w:p>
      <w:pPr>
        <w:pStyle w:val="TextBody"/>
        <w:bidi w:val="0"/>
        <w:spacing w:lineRule="auto" w:line="288" w:before="240" w:after="283"/>
        <w:ind w:left="0" w:right="0" w:firstLine="450"/>
        <w:jc w:val="left"/>
        <w:rPr/>
      </w:pPr>
      <w:r>
        <w:rPr>
          <w:rFonts w:ascii="Arial;sans-serif" w:hAnsi="Arial;sans-serif"/>
          <w:b w:val="false"/>
          <w:color w:val="000000"/>
          <w:sz w:val="20"/>
        </w:rPr>
        <w:t>In addition, the FDA may change its clearance or approval policies, adopt additional regulations or revise existing regulations, or take other actions. For example</w:t>
      </w:r>
      <w:r>
        <w:rPr>
          <w:color w:val="000000"/>
        </w:rPr>
        <w:t xml:space="preserve"> </w:t>
      </w:r>
      <w:r>
        <w:rPr>
          <w:rFonts w:ascii="Arial;sans-serif" w:hAnsi="Arial;sans-serif"/>
          <w:b w:val="false"/>
          <w:color w:val="000000"/>
          <w:sz w:val="20"/>
        </w:rPr>
        <w:t>on February 2, 2026, the FDA’s final rule implementing the FDA’s Quality Management System Regulation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we are or may become subject to new laws, regulations, and industry standards concerning medical devices proposed and enacted in various foreign jurisdictions. The EU regulatory landscape concerning IVDs recently evolved and continues to undergo legislative changes.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EU IVDR requirements are in active implementation and may change as the European Commission adopts additional implementing acts and considers targeted revisions to related IVD rules.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For products for which we obtain FDA clearance or approval or that are otherwise subject to affirmative FDA oversight, we will be subject to the FDA’s medical device reporting regulations and similar foreign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83845"/>
                <wp:effectExtent l="0" t="0" r="0" b="0"/>
                <wp:wrapNone/>
                <wp:docPr id="111" name="Frame10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the FDA to approve or clear a medical device marketing application, the methods used in, and the facilities used for, the manufacture of our products must comply with the FDA’s QMSR, which is a complex 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third-party manufacturers may not take the necessary steps to comply with applicable regulations, which could cause delays in the availability of our products or a delay in obtaining FDA authorization of our marketing application. In addition, on February 2, 2026, the FDA’s final rule implementing the QMSR became effective. The QMSR, which replaced the FDA’s former Quality System Regulation, sets forth the FDA’s cGMP requirements for medical devices, and among other things, incorporates by reference certain elements of the quality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83845"/>
                <wp:effectExtent l="0" t="0" r="0" b="0"/>
                <wp:wrapNone/>
                <wp:docPr id="112" name="Frame10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99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If we or our third party manufacturers are unable to comply with the QMSR, once effective, or with any other applicable FDA requirements or if we or a third party manufacturer discovers previously unknown problems with our products or manufacturing processes, these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of these actions could significantly and negatively affect the supply of our products. If any of these events occurs, our reputation could be harmed, we could be exposed to product liability claims and we could lose customers and experience reduced sales and increased costs.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However, we are reliant on physicians and other providers to accurately provide information about our products to patients, including purposes, limitations, risks benefits, and interpretation of results, and we cannot, prevent a provider from using our products off-label, when in the provider’s independent professional medical judgment he or she deems it appropriate. There may be increased risk of injury to patients if physicians attempt to use our products off-label, which could harm our reputation in the marketplace among physicians and patients.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physicians may misuse our products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83845"/>
                <wp:effectExtent l="0" t="0" r="0" b="0"/>
                <wp:wrapNone/>
                <wp:docPr id="113" name="Frame10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Healthcare reform and data protection measures, including legislation reforming the U.S. healthcare system, could cause significant harm to our business, operations and financial condition.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 If our products do not receive adequate coverage and reimbursement, if at all, from third-party payors, our ability to expand access to our products and our overall commercial success beyond our existing sales channels will be limited.”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More recently, the One Big Beautiful Bill Act (the “OBBBA”)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tests could adversely affect our revenue and commercial prospects.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83845"/>
                <wp:effectExtent l="0" t="0" r="0" b="0"/>
                <wp:wrapNone/>
                <wp:docPr id="114" name="Frame10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Similar developments may occur in the EU. For instance, on December 13, 2021, Regulation No 2021/2282 on Health Technology Assessment (“HTA”) amending Directive 2011/24/EU. While the Regulation entered into force in January 2022 and has been applicable since January 2025, with phased implementation based on the type of product (i.e., certain high-risk medical devices as of 2026).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Obtaining and maintaining regulatory authorization of our products in one jurisdiction does not mean that we will be successful in obtaining regulatory authorization of our products in other jurisdictions.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follow our processes and procedures resulting in implementation gaps, poor organization structure or culture, lack of appropriate internal reporting and decision making or substantive weaknesses, for example, in building and maintaining cybersecurity defenses; or report financial information or data accurately or to disclose unauthorized activities to us. For example, in June 2023, our third- party telemedicine provider experienced a software issue that resulted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83845"/>
                <wp:effectExtent l="0" t="0" r="0" b="0"/>
                <wp:wrapNone/>
                <wp:docPr id="115" name="Frame10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erroneous test reports being delivered to patients. And as we continue to partner with digital health partners, we will face increased risk where Galleri is offered through third party telemedicine platforms, related to, for example, reputational considerations, promotional and marketing considerations, cybersecurity considerations, and compliance with applicable laws. Since we began commercializing Galleri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fail to comply with healthcare and other applicable laws and regulations, we could face substantial penalties and our business, reputation, and operations and financial condition could be adversely affected.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 The law includes a limited number of exceptions, some of which closely align with corresponding Anti-Kickback Statute exceptions and safe harbors, and others that materially differ. Certain sales-based incentive compensation models may present risk while others may fall outside the scope of EKRA, depending on the facts and circumstances. Accordingly, we cannot guarantee that our relationships with providers, sales representatives, or customers will not be subject to scrutiny or will withstand regulatory challenge under EKRA;</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 xml:space="preserve">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83845"/>
                <wp:effectExtent l="0" t="0" r="0" b="0"/>
                <wp:wrapNone/>
                <wp:docPr id="116" name="Frame10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 Anti-Kickback Statute or Stark Law constitutes a false or fraudulent claim for purposes of the False Claims Act;</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federal consumer protection and unfair competition laws, which broadly regulate marketplace activities and activities that potentially harm consumers; and</w:t>
      </w:r>
    </w:p>
    <w:p>
      <w:pPr>
        <w:pStyle w:val="TextBody"/>
        <w:bidi w:val="0"/>
        <w:spacing w:lineRule="auto" w:line="288" w:before="240" w:after="283"/>
        <w:ind w:left="0" w:right="0" w:hanging="288"/>
        <w:jc w:val="left"/>
        <w:rPr/>
      </w:pPr>
      <w:r>
        <w:rPr>
          <w:color w:val="000000"/>
        </w:rPr>
        <w:t>•</w:t>
      </w:r>
      <w:r>
        <w:rPr>
          <w:rFonts w:ascii="Arial;sans-serif" w:hAnsi="Arial;sans-serif"/>
          <w:b w:val="false"/>
          <w:color w:val="000000"/>
          <w:sz w:val="20"/>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and state laws that require healthcare companies to file reports with states regarding pricing and marketing information, such as the tracking and reporting of gifts, compensation, and other remuneration and items of value provided to healthcare professionals and entities.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83845"/>
                <wp:effectExtent l="0" t="0" r="0" b="0"/>
                <wp:wrapNone/>
                <wp:docPr id="117" name="Frame10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environmental, health, and safety laws and regulations, environmental and social governance (“ESG), diversity, equity and inclusion (“DEI”), “anti-ESG” and “anti-DEI” sentiment has gained momentum in some parts of the United States. Increasingly, different stakeholder groups have divergent views on ESG and DEI matters, which increases the risk that any action or lack thereof with respect to ESG or DEI matters will be perceived negatively by at least some stakeholders and adversely impact our reputation and business. If we do not successfully manage ESG or DEI-related expectations and requirements across stakeholders, it could erode stakeholder trust, impact our reputation, subject us to shareholder activism or litigation, and adversely affect our business, financial condition, results of operations and cash flows. Several state and federal governmental authorities have filed suit alleging that ESG or DEI measures or initiatives violate the law. We or those in our industry could face litigation for our ESG or diversity policies and/or programs and if we were sued under any of these claims, our financial condition, reputation or business could be adversely impacted.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Changes in funding, leadership, resources or prioritization, or other disruptions, in the U.S. or international government, including at the FDA, other government agencies, and notified bodies, could hinder our ability to develop, approve, certify, commercialize or receive reimbursement for our test.</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ability to develop, approve, certify, commercialize or receive reimbursement for our test depends on interactions with, decisions of and approvals and payments by the U.S. and other governments. 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 government shutdowns, and other events that may otherwise affect the FDA’s, foreign regulatory agencies’ and notified bodies’ ability to perform routine functions. In addition, government funding of other government agencies that fund research and development activities is subject to the political process, which is inherently fluid and unpredictable. Disruptions at the FDA, notified bodies and other agencies may also slow the time necessary for new medical devices or modifications to approved, cleared, or certified medical devices to be reviewed and cleared, approved, or certified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83845"/>
                <wp:effectExtent l="0" t="0" r="0" b="0"/>
                <wp:wrapNone/>
                <wp:docPr id="118" name="Frame11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by necessary government agencies, which would adversely affect our business. For example, the current U.S.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in recent years, the U.S. government has shut down several times, and certain regulatory agencies, such as the FDA, have had to furlough critical FDA employees and stop critical activities, including during an extended shutdown between October 1, 2025 and November 12, 2025. Similar shutdowns could have a broad range of negative effects on our business. Disruptions at the FDA, other agencies, and notified bodies caused by these or other shutdowns, may also slow the time necessary for new medical devices or modifications to be cleared and approved, or certified medical devices to be reviewed and/or approved, or certified by necessary government agencies or notified bodies, or delay payment for currently reimbursed research, such as our REACH study, or reimbursed products in the future, which would adversely affect our business.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also receive certain government reimbursement payments for tests provided to patients in our REACH clinical trial, and these payments may be delayed or not provided if the government remains shutdown, or they are not budgeted for as part of any continuing resolution. In the future, this risk could be amplified as we continue to seek, and hope to achieve, additional government reimbursement for our test. </w:t>
      </w:r>
    </w:p>
    <w:p>
      <w:pPr>
        <w:pStyle w:val="TextBody"/>
        <w:bidi w:val="0"/>
        <w:spacing w:before="0" w:after="0"/>
        <w:ind w:left="0" w:right="0" w:firstLine="45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EU, for example, notified bodies must be officially designated to certify products and services in accordance with the EU IVDR. Their designation process, which is significantly stricter under the new Regulation, has experienced considerable delays in the past.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has been one of the reasons for the recent extension of the transitional provisions under the EU IVDR. Despite these recent developments, the way we are conducting or intend to conduct our business in the EU and the EEA and the ability of the applicable notified body to timely review and process our regulatory submissions and perform its audits may still be impacted, and our ability to commercially launch Galleri in the EU and EEA could be delayed.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business activities are subject to the FCPA and similar anti-bribery and anti-corruption laws.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There is significant uncertainty whether the current U.S. administration, including as a result of the recent executive order pausing all investigations and prosecutions under the FCPA, will continue robust anti-corruption enforcement in our industry. In any case,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83845"/>
                <wp:effectExtent l="0" t="0" r="0" b="0"/>
                <wp:wrapNone/>
                <wp:docPr id="119" name="Frame11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The biopharmaceutical and medical device industries are subject to extensive regulatory obligations and policies that may be subject to significant and abrupt change, including due to judicial challenges, election cycles, and resulting regulatory updates and changes in policy priorities.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HHS, CMS, FDA and other agencies with significant oversight of the biopharmaceutical and medical device industries.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federal agency priorities, leadership, policies, rulemaking, communications, spending, and staffing may be significantly impacted by election cycles. For example, there have been recent reductions in government spending and reductions in the workforces of certain government agencies, such as HHS, FDA, and CMS. Further limitations may result in reductions to agency budgets, employees, and operations, which may lead to slower response times and longer review periods, potentially affecting our ability to progress development of our product candidates or obtain regulatory approval for our product candidates. Similarly, the current political climate could impact regulation affecting our business could lead to abrupt changes in regulation of our industry and the effectiveness of our regulatory and reimbursement strategy.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Intellectual Property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 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 As a result of our Restructuring Plan, we have determined to strategically focus our patent portfolio, which we expect to result in filing and maintaining fewer patents in fewer jurisdictions, which could amplify these risks.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83845"/>
                <wp:effectExtent l="0" t="0" r="0" b="0"/>
                <wp:wrapNone/>
                <wp:docPr id="120" name="Frame11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 products are commercialized. As a result, our owned or exclusively in-licensed patent portfolio may not provide us with sufficient rights to exclude others from commercializing products similar or identical to ours.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example, while we believe our patent portfolio, including our in-licensed patents such as those from the Chinese University of Hong Kong, provide coverage of various aspects of Galleri and our precision oncology portfolio, including on methylation analysis, identification of cancer signal of origin and assay chemistry and techniques for preparing and optimizing patient samples, recently other screening companies have announced tissue-free monitoring of residual disease and intention to offer early cancer detection products using blood-based methylation analysis. Other market participants operating commercially using purportedly similar technologies will increase the likelihood of intellectual property disputes and associated risks.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83845"/>
                <wp:effectExtent l="0" t="0" r="0" b="0"/>
                <wp:wrapNone/>
                <wp:docPr id="121" name="Frame11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entered into license agreements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pStyle w:val="TextBody"/>
        <w:bidi w:val="0"/>
        <w:spacing w:lineRule="auto" w:line="288" w:before="240" w:after="283"/>
        <w:ind w:left="0" w:right="0" w:hanging="274"/>
        <w:jc w:val="both"/>
        <w:rPr/>
      </w:pPr>
      <w:r>
        <w:rPr>
          <w:color w:val="000000"/>
        </w:rPr>
        <w:t>•</w:t>
      </w:r>
      <w:r>
        <w:rPr>
          <w:rFonts w:ascii="Arial;sans-serif" w:hAnsi="Arial;sans-serif"/>
          <w:b w:val="false"/>
          <w:color w:val="000000"/>
          <w:sz w:val="20"/>
        </w:rPr>
        <w:t>the scope of rights granted under the license agreement;</w:t>
      </w:r>
    </w:p>
    <w:p>
      <w:pPr>
        <w:pStyle w:val="TextBody"/>
        <w:bidi w:val="0"/>
        <w:spacing w:lineRule="auto" w:line="288" w:before="240" w:after="283"/>
        <w:ind w:left="0" w:right="0" w:hanging="274"/>
        <w:jc w:val="left"/>
        <w:rPr/>
      </w:pPr>
      <w:r>
        <w:rPr>
          <w:color w:val="000000"/>
        </w:rPr>
        <w:t>•</w:t>
      </w:r>
      <w:r>
        <w:rPr>
          <w:rFonts w:ascii="Arial;sans-serif" w:hAnsi="Arial;sans-serif"/>
          <w:b w:val="false"/>
          <w:color w:val="000000"/>
          <w:sz w:val="20"/>
        </w:rPr>
        <w:t>the extent to which our product and technology infringe on intellectual property of the licensor that is not subject to the license agreement;</w:t>
      </w:r>
    </w:p>
    <w:p>
      <w:pPr>
        <w:pStyle w:val="TextBody"/>
        <w:bidi w:val="0"/>
        <w:spacing w:lineRule="auto" w:line="288" w:before="240" w:after="283"/>
        <w:ind w:left="0" w:right="0" w:hanging="274"/>
        <w:jc w:val="left"/>
        <w:rPr/>
      </w:pPr>
      <w:r>
        <w:rPr>
          <w:color w:val="000000"/>
        </w:rPr>
        <w:t>•</w:t>
      </w:r>
      <w:r>
        <w:rPr>
          <w:rFonts w:ascii="Arial;sans-serif" w:hAnsi="Arial;sans-serif"/>
          <w:b w:val="false"/>
          <w:color w:val="000000"/>
          <w:sz w:val="20"/>
        </w:rPr>
        <w:t>the right to sublicense patent and other rights under our collaborative development relationships;</w:t>
      </w:r>
    </w:p>
    <w:p>
      <w:pPr>
        <w:pStyle w:val="TextBody"/>
        <w:bidi w:val="0"/>
        <w:spacing w:lineRule="auto" w:line="288" w:before="240" w:after="283"/>
        <w:ind w:left="0" w:right="0" w:hanging="274"/>
        <w:jc w:val="both"/>
        <w:rPr/>
      </w:pPr>
      <w:r>
        <w:rPr>
          <w:color w:val="000000"/>
        </w:rPr>
        <w:t>•</w:t>
      </w:r>
      <w:r>
        <w:rPr>
          <w:rFonts w:ascii="Arial;sans-serif" w:hAnsi="Arial;sans-serif"/>
          <w:b w:val="false"/>
          <w:color w:val="000000"/>
          <w:sz w:val="20"/>
        </w:rPr>
        <w:t>our diligence and other obligations under the license agreement; and</w:t>
      </w:r>
    </w:p>
    <w:p>
      <w:pPr>
        <w:pStyle w:val="TextBody"/>
        <w:bidi w:val="0"/>
        <w:spacing w:lineRule="auto" w:line="288" w:before="240" w:after="283"/>
        <w:ind w:left="0" w:right="0" w:hanging="274"/>
        <w:jc w:val="left"/>
        <w:rPr/>
      </w:pPr>
      <w:r>
        <w:rPr>
          <w:color w:val="000000"/>
        </w:rPr>
        <w:t>•</w:t>
      </w:r>
      <w:r>
        <w:rPr>
          <w:rFonts w:ascii="Arial;sans-serif" w:hAnsi="Arial;sans-serif"/>
          <w:b w:val="false"/>
          <w:color w:val="000000"/>
          <w:sz w:val="20"/>
        </w:rPr>
        <w:t>the ownership and use of inventions and know-how resulting from the joint invention of intellectual property by us and our licensors and our partners.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83845"/>
                <wp:effectExtent l="0" t="0" r="0" b="0"/>
                <wp:wrapNone/>
                <wp:docPr id="122" name="Frame11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109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use of open-source software could subject our proprietary technology to unwanted open-source license conditions that could negatively impact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Developments in patent law could have a negative impact on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Several precedential decisions regarding patentable subject matter are of particular relevance to patents in the medical diagnostics and computer-implemented applications space. The 2012 decision in </w:t>
      </w:r>
      <w:r>
        <w:rPr>
          <w:rFonts w:ascii="Arial;sans-serif" w:hAnsi="Arial;sans-serif"/>
          <w:b w:val="false"/>
          <w:i/>
          <w:color w:val="000000"/>
          <w:sz w:val="20"/>
        </w:rPr>
        <w:t>Mayo Collaborative v. Prometheus Laboratories (Prometheus)</w:t>
      </w:r>
      <w:r>
        <w:rPr>
          <w:color w:val="000000"/>
        </w:rPr>
        <w:t xml:space="preserve"> </w:t>
      </w:r>
      <w:r>
        <w:rPr>
          <w:rFonts w:ascii="Arial;sans-serif" w:hAnsi="Arial;sans-serif"/>
          <w:b w:val="false"/>
          <w:color w:val="000000"/>
          <w:sz w:val="20"/>
        </w:rPr>
        <w:t xml:space="preserve">concerns patent claims directed to optimizing the amount of drug administered to a specific patient based on 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Arial;sans-serif" w:hAnsi="Arial;sans-serif"/>
          <w:b w:val="false"/>
          <w:i/>
          <w:color w:val="000000"/>
          <w:sz w:val="20"/>
        </w:rPr>
        <w:t>Association for Molecular Pathology v. Myriad Genetics (Myriad)</w:t>
      </w:r>
      <w:r>
        <w:rPr>
          <w:color w:val="000000"/>
        </w:rPr>
        <w:t xml:space="preserve"> </w:t>
      </w:r>
      <w:r>
        <w:rPr>
          <w:rFonts w:ascii="Arial;sans-serif" w:hAnsi="Arial;sans-serif"/>
          <w:b w:val="false"/>
          <w:color w:val="000000"/>
          <w:sz w:val="20"/>
        </w:rPr>
        <w:t xml:space="preserve">concerns the patentability of isolated DNA sequences that were related to methods of diagnosing genetic predisposition to cancer. The U.S. Supreme Court held that isolated fragments of naturally occurring genetic material are not patent eligible, but non-naturally occurring fragments can be patented. The 2014 decision in </w:t>
      </w:r>
      <w:r>
        <w:rPr>
          <w:rFonts w:ascii="Arial;sans-serif" w:hAnsi="Arial;sans-serif"/>
          <w:b w:val="false"/>
          <w:i/>
          <w:color w:val="000000"/>
          <w:sz w:val="20"/>
        </w:rPr>
        <w:t>Alice Corporation Pty. Ltd. v. CLS Bank International (Alice)</w:t>
      </w:r>
      <w:r>
        <w:rPr>
          <w:color w:val="000000"/>
        </w:rPr>
        <w:t xml:space="preserve"> </w:t>
      </w:r>
      <w:r>
        <w:rPr>
          <w:rFonts w:ascii="Arial;sans-serif" w:hAnsi="Arial;sans-serif"/>
          <w:b w:val="false"/>
          <w:color w:val="000000"/>
          <w:sz w:val="20"/>
        </w:rPr>
        <w:t xml:space="preserve">concerns computer-implemented inventions. The U.S. Supreme Court held that an abstract idea could not be patented just because it is implemented on a computer, thus providing guidance on the patentability of computer-implemented applications. The 2015 decision in </w:t>
      </w:r>
      <w:r>
        <w:rPr>
          <w:rFonts w:ascii="Arial;sans-serif" w:hAnsi="Arial;sans-serif"/>
          <w:b w:val="false"/>
          <w:i/>
          <w:color w:val="000000"/>
          <w:sz w:val="20"/>
        </w:rPr>
        <w:t>Ariosa v. Sequenom</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Sequenom</w:t>
      </w:r>
      <w:r>
        <w:rPr>
          <w:rFonts w:ascii="Arial;sans-serif" w:hAnsi="Arial;sans-serif"/>
          <w:b w:val="false"/>
          <w:color w:val="000000"/>
          <w:sz w:val="20"/>
        </w:rPr>
        <w:t xml:space="preserve">) concerns the patentability of claims directed to a method of detecting fetal DNA in a mother’s serum or plasma samples. Although the U.S. Supreme Court recognized that the discovery of cell-free fetal DNA present in a mother’s bloodstream was a scientific breakthrough, it held that the claims were not patent eligible since they were primarily directed to a natural phenomenon. The Federal Circuit’s 2020 decision in </w:t>
      </w:r>
      <w:r>
        <w:rPr>
          <w:rFonts w:ascii="Arial;sans-serif" w:hAnsi="Arial;sans-serif"/>
          <w:b w:val="false"/>
          <w:i/>
          <w:color w:val="000000"/>
          <w:sz w:val="20"/>
        </w:rPr>
        <w:t xml:space="preserve">Illumina v. Ariosa </w:t>
      </w:r>
      <w:r>
        <w:rPr>
          <w:rFonts w:ascii="Arial;sans-serif" w:hAnsi="Arial;sans-serif"/>
          <w:b w:val="false"/>
          <w:color w:val="000000"/>
          <w:sz w:val="20"/>
        </w:rPr>
        <w:t>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 procedures issued by the USPTO, or authorities in other jurisdictions based on such changes in the law.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cannot fully predict the impact that the evolving case law on patentable subject matter will have on the ability to obtain or enforce patents relating to DNA, genes, genomic-related discoveries, or computer- 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83845"/>
                <wp:effectExtent l="0" t="0" r="0" b="0"/>
                <wp:wrapNone/>
                <wp:docPr id="123" name="Frame11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 our technology and future products and, resultantly, on our business, financial condition, prospects, and results of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Further, the U.S. Congress has periodically sought to pass bills concerning subject matter eligible for patent protection, including the Patent Eligibility Restoration Act (PERA) pending in the U.S. Senate. We cannot fully predict the impact that such new laws may have on our ability to obtain patent protection for our products and technologies, and our ability to operate in view of the patents controlled by third parties. These and other substantive changes to U.S. or foreign patent law could affect our susceptibility to patent infringement claims and our ability to obtain patents and, if obtained, to enforce or defend them, any of which could have a material adverse effect on our business.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Patent terms may be inadequate to protect our position on our products for an adequate amount of time.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Issued patents covering our products and other technologies could be found invalid or unenforceable if challenged in court or before administrative bodies in the United States and abroad.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83845"/>
                <wp:effectExtent l="0" t="0" r="0" b="0"/>
                <wp:wrapNone/>
                <wp:docPr id="124" name="Frame11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pPr>
      <w:r>
        <w:rPr>
          <w:rFonts w:ascii="Arial;sans-serif" w:hAnsi="Arial;sans-serif"/>
          <w:b w:val="false"/>
          <w:color w:val="000000"/>
          <w:sz w:val="20"/>
        </w:rPr>
        <w:t xml:space="preserve">challenging the validity or enforceability of our owned or in-licensed patents before administrative bodies in the United States or abroad, even outside the context of litigation. Such mechanisms include re-examination, post- grant review,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or our other technologies or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or our precision oncology portfolio. The opponents have filed an appeal, which is currently pending. An additional opposition was filed on another of our in-licensed European patents relating to Galleri by an anonymous opponent, and this opposition is currently pending. These opposition proceedings do not affect our patents outside Europe.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Various companies have encountered significant problems in protecting and defending intellectual property rights in foreign jurisdictions. The legal systems of some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patent owners may have limited remedies in certain circumstances, which could materially diminish the value of such patents.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in development with intellectual property rights, such as patents, as appropriate, the process of obtaining patents is time consuming, expensive, and unpredictable.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83845"/>
                <wp:effectExtent l="0" t="0" r="0" b="0"/>
                <wp:wrapNone/>
                <wp:docPr id="125" name="Frame11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we are unable to protect the confidentiality of our trade secrets, our business and market position would be harmed.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 This risk may be heightened when employee attrition is higher, for example in connection with the Restructuring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83845"/>
                <wp:effectExtent l="0" t="0" r="0" b="0"/>
                <wp:wrapNone/>
                <wp:docPr id="126" name="Frame11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 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83845"/>
                <wp:effectExtent l="0" t="0" r="0" b="0"/>
                <wp:wrapNone/>
                <wp:docPr id="127" name="Frame11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Intellectual property litigation may lead to unfavorable publicity that harms our reputation and causes the market price of our common stock to decline.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may become involved in lawsuits to protect or enforce or defend our patents, which could be expensive, time-consuming, and unsuccessful.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patents and any patents that we in-license may be challenged, narrowed, invalidated, or circumvented. If our patents are invalidated or otherwise limited or will expire prior to the commercialization of our products, other companies may be better able to develop products that could adversely affect our market position,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are examples of litigation and other adversarial proceedings or disputes that we could become a party to involving our patents or patents licensed to us: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we or our collaborators may initiate litigation or other proceedings against third parties to enforce our patent rights;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 xml:space="preserve">third parties have initiated, and in the future may initiate, oppositions,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post-grant review, or reexamination proceedings challenging the validity or scope of our patent rights, requiring us or our collaborators and/or licensors to participate in such proceedings to defend the validity and scope of our patents;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there may be a challenge or dispute regarding inventorship or ownership of patents currently identified as being owned by or licensed to us;</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pStyle w:val="TextBody"/>
        <w:bidi w:val="0"/>
        <w:spacing w:lineRule="auto" w:line="288" w:before="240" w:after="283"/>
        <w:ind w:left="0" w:right="0" w:hanging="331"/>
        <w:jc w:val="left"/>
        <w:rPr/>
      </w:pPr>
      <w:r>
        <w:rPr>
          <w:color w:val="000000"/>
        </w:rPr>
        <w:t>•</w:t>
      </w:r>
      <w:r>
        <w:rPr>
          <w:rFonts w:ascii="Arial;sans-serif" w:hAnsi="Arial;sans-serif"/>
          <w:b w:val="false"/>
          <w:color w:val="000000"/>
          <w:sz w:val="20"/>
        </w:rPr>
        <w:t>third parties may seek approval to market products similar to our future approved products prior to expiration of relevant patents owned by or licensed to us, requiring us to defend our patents, including by filing lawsuits alleging patent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83845"/>
                <wp:effectExtent l="0" t="0" r="0" b="0"/>
                <wp:wrapNone/>
                <wp:docPr id="128" name="Frame12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or may partner with distributors to market our test under different names.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the Spin-Off</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could have an indemnification obligation to Illumina if the Distribution were determined not to qualify for non-recognition treatment for U.S. federal tax purposes.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Illumina received a private letter ruling from the IRS and a written opinion of Cravath, Swaine &amp; Moore LLP that, subject to the limitations specified therein and the accuracy of and compliance with certain representations, warranties, and covenants, the Spin-Off will qualify for non-recognition of gain and loss under Sections 355 and 368 of the Code. Notwithstanding this ruling and opinion, if the Spin-Off were determined not to qualify for non-recognition of gain and loss under Sections 355 and 368 of the Code, we could be required, under certain circumstances, to indemnify Illumina for certain taxes and related expenses. In addition, current tax law generally creates a presumption that the Spin-Off would be taxable to Illumina, but not to holders, if we or our shareholders were to engage in transactions that result in a 50% or greater change by vote or value in the ownership of our stock during the four-year period ending on June 24, 2026,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we could, under certain circumstances, be required under the Tax Matters Agreement to indemnify Illumina for some or all of the tax on such gain and related expenses. Any such indemnification obligation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83845"/>
                <wp:effectExtent l="0" t="0" r="0" b="0"/>
                <wp:wrapNone/>
                <wp:docPr id="129" name="Frame12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have agreed to numerous restrictions to preserve the non-recognition treatment of the Spin-Off, which may reduce our strategic and operating flexibility.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agreed in the Tax Matters Agreement to certain covenants and indemnification obligations (including restrictions on share issuances, redemptions or repurchases, business combinations, sales of assets, and similar transactions) that address compliance with the intended tax treatment of the Spin-Off. Certain of these restrictions will apply for the two-year period after the Spin-Off unless Illumina obtains an opinion from counsel or a ruling from the IRS generally to the effect that a restricted action will not cause the Spin-Off or certain related transactions to fail to qualify for its intended tax treatment, or Illumina gives its consent for us to take a restricted action. These covenants and indemnification obligations may limit our ability to pursue strategic transactions or engage in new businesses or other transactions that may otherwise maximize the value of our business, and might discourage or delay a strategic transaction that our shareholders may consider favorable. These covenants may also inhibit our ability to obtain financing through public offerings of our common stock or private financings with certain parties, which may materially and adversely affect our ability to raise capital and satisfy our cash needs. These covenants may continue to apply, and continue to require either opinion of counsel or waiver from or approval by Illumina in order to conduct a strategic transaction or public offering, whether or not an actual tax liability may be incurred by our proposed strategic transaction or public offering. If we are restricted from participating in strategic or financing activities by such contractual restrictions, our business, financial condition, results of operations, and growth prospects would be adversely affected.</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historical financial data is not necessarily representative of the results that we would have achieved if we had been a separate, publicly traded company and may not be a reliable indicator of our future results.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From August 18, 2021 until June 24, 2024, we operated as a wholly owned subsidiary of Illumina. In connection with the legal and regulatory involvement of the Federal Trade Commission and European Commission, our business was held and operated separately and independently from Illumina and Illumina was required to fund our operations and development. We derived the historical financial data included in this Annual Report on Form 10-K, in part,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historical financial data may not fully reflect the costs associated with the Spin-Off, including the costs related to being an independent public company;</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our historical financial data does not reflect our obligations under the various transitional and other agreements we will enter into with Illumina in connection with the Spin-Off;</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since Illumina acquired us in August 2021, our working capital requirements and capital for our general corporate purposes, including capital expenditures, have been satisfied by Illumina. Following the Spin-Off, we will need to rely on our cash on hand or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following the Spin-Off, we expect that the cost of capital for our business is higher than Illumina’s cost of capital prior to the Spin-Off.</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“Management’s Discussion and Analysis of Financial Condition and Results of Operations” of this Annual Report on Form 10-K and our Consolidated Financial Statements and the notes thereto 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83845"/>
                <wp:effectExtent l="0" t="0" r="0" b="0"/>
                <wp:wrapNone/>
                <wp:docPr id="130" name="Frame12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Our Common Stock</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Prior to June 24, 2024, no market for our common stock existed and an active trading market may not be sustained after the Spin-Off. Our stock price has fluctuated and may fluctuate significantly.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Prior to June 24, 2024, there was no public market for our common stock. Although our common stock is listed on Nasdaq, an active trading market for our common stock may not be sustained in the future. The lack of an active market may make it more difficult for shareholders to sell our shares and could lead to our share price being depressed or volatile.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market price of our common stock has been highly volatile since the Spin-Off. We cannot predict the prices at which our common stock may trade in the future. The market price of our common stock may fluctuate widely, depending on many factors, some of which may be beyond our control, including:</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commercial success of Galleri;</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timing of launch of any future products;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timing and results of clinical studies for our products and the failure or discontinuation of any of our product development and research programs;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success of future third-party tests, services, or technologies and the results of clinical studies, or regulatory approvals (or certifications) of tests of third parties;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whether our financial results, forecasts, and development timelines meet the expectations of securities analysts or investors, and changes in estimates or recommendations by securities analysts, if any, that cover our stock;</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sales of our common stock by us, our insiders, Illumina, or other stockholders;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regulatory or legal developments in the United States, including under the new presidential administration, changes in the structure of healthcare payment systems, such as changes that would affect coverage and reimbursement by third-party payors, and other countries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general economic, industry, and market conditions;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other factors described in this Item 1A. “Risk Factors” section.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Additionally, in recent years, stock markets in general, and the market for healthcare companies in particular (including companies in the biotechnology, diagnostics, and related sectors),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83845"/>
                <wp:effectExtent l="0" t="0" r="0" b="0"/>
                <wp:wrapNone/>
                <wp:docPr id="131" name="Frame12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If securities analysts publish negative evaluations of our stock, the price of our stock could decline.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trading market for our common stock relies in part on the research and reports that industry or securities analysts publish about us or our business. If no or few analysts cover us, the trading price of our stock could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Raising additional capital may cause dilution to our existing stockholders, restrict our operations, or require us to relinquish rights to our technologies or our products.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pStyle w:val="TextBody"/>
        <w:bidi w:val="0"/>
        <w:spacing w:lineRule="auto" w:line="26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your ownership interest may be diluted in the future because of the settlement or exercise of outstanding or future equity-based awards that we expect to grant to our directors, officers, and other employees, including pursuant to our 2024 Equity Incentive Plan. We also make equity grants to certain new employees joining the Company pursuant to an inducement plan, and our compensation committee may elect to increase the number of shares available for future grant under the inducement plan without stockholder approval. We also have an Employee Stock Purchase Plan and any shares of common stock purchased pursuant to that plan will also cause dilution.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an “emerging growth company” as defined by the Jumpstart Our Business Startups Act of 2012. We will continue to be an emerging growth company until the earliest to occur of the following:</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last day of the fiscal year in which our total annual gross revenues first meet or exceed $1.235 billion (as adjusted for inflation);</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date on which we have, during the prior three-year period, issued more than $1.0 billion in non-convertible debt;</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last day of the fiscal year in which we (i) have an aggregate worldwide market value of common stock held by non-affiliates of $700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and are no longer a smaller reporting company); or</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the last day of the fiscal year following the fifth anniversary of the date of the first sale of our common stock pursuant to an effective registration statement under the Securities Act of 1933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83845"/>
                <wp:effectExtent l="0" t="0" r="0" b="0"/>
                <wp:wrapNone/>
                <wp:docPr id="132" name="Frame12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119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as long as we are an emerging growth company, we may take advantage of certain exemptions from various reporting requirements that are applicable to other public companies that are not emerging growth companies, including, but not limited to:</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not being required to comply with the auditor attestation requirements of the assessment of our internal control over financial reporting under Section 404(b) of the Sarbanes-Oxley Act of 2002 (“SOX”);</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exemption from new or revised financial accounting standards applicable to public companies until such standards are also applicable to private companies;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reduced disclosure obligations regarding executive compensation in our periodic reports, proxy statements, and registration statements;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exemptions from the requirement of holding a nonbinding advisory vote on executive compensation and shareholder approval on golden parachute compensation not previously approved.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chosen to take advantage of some or all of these reduced burdens.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we file in the future, will be subject to all new or revised accounting standards generally applicable to public companies. Our election not to take advantage of the extended transition period is irrevocable. We expect to cease to be an “emerging growth company” effective December 31, 2026.</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Substantial sales of our common stock by Illumina or other significant shareholders could cause our stock price to decline.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Immediately following the Spin-Off on June 24, 2024, Illumina retained a 14.5% ownership interest of our common stock. In connection with the Spin-Off, we have entered into a Stockholder and Registration Rights Agreement with Illumina, pursuant to which we provide Illumina registration rights with respect to the shares of our common stock it retained following the Spin-Off. In addition, Illumina has agreed to vote any shares of our common stock that it retains in proportion to the votes cast by our other stockholders and to grant us a proxy to vote its shares of our common stock in such proportion. Pursuant to the IRS private letter ruling, Illumina is required to dispose of any such shares of our common stock that it retains as soon as warranted consistent with the business reasons for the retention of such shares, but in no event later than five years after the Spin-Off. Illumina is not required to hold any retained shares for any minimum period following the Spin-Off. During the fourth quarter of 2025, Illumina sold 2,000,000 shares of the Company’s common stock, reducing its ownership to 2,502,126 shares, which represented approximately 6.0% of the Company’s outstanding common stock as of December 31, 2025. On February 17, 2026, Illumina filed a Schedule 13G reporting beneficial ownership of 1,302,126 shares of our common stock. We are unable to predict with certainty when Illumina will dispose of additional substantial numbers of shares of common stock. The sales of significant amounts of our common stock by Illumina or any other significant shareholders, or the perception in the market that this will occur, may decrease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83845"/>
                <wp:effectExtent l="0" t="0" r="0" b="0"/>
                <wp:wrapNone/>
                <wp:docPr id="133" name="Frame12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do not expect to pay any dividends for the foreseeable future.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and the terms of our Separation and Distribution Agreement with Illumina entered into in connection with the Spin-Off require us to repay portions of the disposal funding we received from Illumina in connection with the Spin-Off in the event we pay dividends.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will incur increased costs as a result of operating as a public company. Our management will be required to devote substantial time to new compliance initiatives and corporate governance practices.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 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SOX Section 404, we are required to furnish a report by our management on our internal control over financial reporting beginning with this filing of our Annual Report on Form 10-K.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are engaged in a process to document and evaluate our internal control over financial reporting, which is both costly and challenging. In this regard, we have and will need to continue to dedicate internal resources,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continuously conclude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Certain provisions in our Certificate of Incorporation and Bylaws and Delaware law may discourage, delay, or prevent a change in control of our company or changes in our management and, therefore, depress the trading price of our common stock.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establish that our board of directors is divided into three classes: Class I, Class II, and Class III, with each class serving staggered three-year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83845"/>
                <wp:effectExtent l="0" t="0" r="0" b="0"/>
                <wp:wrapNone/>
                <wp:docPr id="134" name="Frame12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provide that our directors may be removed only for cause;</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eliminate cumulative voting in the election of directors;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permit stockholders to take actions only at a duly called annual or special meeting and not by unanimous written consent;</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prohibit stockholders from calling a special meeting of stockholders;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require that stockholders give advance notice to nominate directors or submit proposals for consideration at stockholder meetings;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authorize our board of directors, by a majority vote, to amend certain provisions of the Bylaws;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require the affirmative vote of at least 66 2/3% or more of the outstanding shares of common stock to amend many of the provisions described above.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 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Our Certificate of Incorporation designates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Certificate of Incorporation provides that, unless we consent in writing to the selection of an alternative forum, the Court of Chancery of the State of Delaware will be the exclusive forum for the following types of actions or proceedings under Delaware statutory or common law:</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any derivative action or proceeding brought on our behalf;</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any action asserting a claim of breach of a fiduciary duty owed by any current of former directors, officers or other employees, or stockholders to us or our stockholders;</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any action asserting a claim arising pursuant to any provision of the DGCL or our amended and restated Certificate of Incorporation and Bylaws; and</w:t>
      </w:r>
    </w:p>
    <w:p>
      <w:pPr>
        <w:pStyle w:val="TextBody"/>
        <w:bidi w:val="0"/>
        <w:spacing w:lineRule="auto" w:line="288" w:before="240" w:after="283"/>
        <w:ind w:left="0" w:right="0" w:hanging="317"/>
        <w:jc w:val="left"/>
        <w:rPr/>
      </w:pPr>
      <w:r>
        <w:rPr>
          <w:color w:val="000000"/>
        </w:rPr>
        <w:t>•</w:t>
      </w:r>
      <w:r>
        <w:rPr>
          <w:rFonts w:ascii="Arial;sans-serif" w:hAnsi="Arial;sans-serif"/>
          <w:b w:val="false"/>
          <w:color w:val="000000"/>
          <w:sz w:val="20"/>
        </w:rPr>
        <w:t>any action asserting a claim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83845"/>
                <wp:effectExtent l="0" t="0" r="0" b="0"/>
                <wp:wrapNone/>
                <wp:docPr id="135" name="Frame12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We could be subject to additional securities class action litigation.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Our stock price may be volatile and may decline significantly in response to the announcement of clinical trial results, including results that do not meet their primary endpoints or that are perceived unfavorably by the investment community. For example, in February 2026, we announced that the NHS-Galleri Trial did not meet its primary endpoint of statistically significant combined Stage 3 and 4 reduction and experienced a decline in our stock price on the following day. The announcement of these results, or any future announcements of clinical trial results that do not meet expectations, could cause significant volatility or decline in the market price of our common stock. If we face such litigation, it could result in substantial costs and a diversion of our management’s attention and resources, which could harm 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any perceived or actual decline in our business prospects or stock price following the NHS-Galleri Trial results or other adverse developments could invite shareholder activism. Responding to shareholder activism can be costly and time-consuming, disrupt our operations, and divert the attention of our management and board of directors. Furthermore, activist shareholders may attempt to influence or change our strategic direction, capital allocation, or governance practices, which could adversely affect our business and stock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Given the importance of cybersecurity to our business, we maintain a cybersecurity program to help support the effectiveness of our systems, and our preparedness for cybersecurity risks, and our protection of the confidentiality, integrity, and availability of our critical systems and information. Our cybersecurity risk management program is part of our overall risk management program and shares similar governance processes and reporting channels that apply across the risk management program to financial, legal, compliance, and other operational risk areas. Our program is informed by industry frameworks, such as the National Institute of Standards and Technology (“NIST”) Cybersecurity Framework 2.0 (“NIST CSF 2.0”). This does not imply that we meet any particular technical standards, specifications, or requirements, only that we use frameworks such as NIST CSF 2.0 as a guide to help us identify, assess, and manage cybersecurity risks relevant to our business.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require cybersecurity trainings when onboarding new employees and contractors, as well as annual cybersecurity awareness training for our employees and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83845"/>
                <wp:effectExtent l="0" t="0" r="0" b="0"/>
                <wp:wrapNone/>
                <wp:docPr id="136" name="Frame12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use our Enterprise Risk Management (“ERM”) process to assess and manage cybersecurity risks that may be associated with our systems, operations, and third-party service providers. We conduct internal audits and engage external assessors to help review our cybersecurity program and identify opportunities for maturing our program. For additional information, see “Item 1A. Risk Factors”.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Identifying, assessing and managing cybersecurity risks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cybersecurity team and the owners of information technology systems across the business, led by our Chief Security Officer (“CSO”) and Vice President, Security (“VP, Security”), monitor current events and trends related to cybersecurity in an effort to anticipate potential risks and threats on current systems and operations. We have implemented and continue to develop various processes to identify, review and track risks to our systems and operations, including through the use of third-party solutions and penetration testing of our systems. We have policies and procedures for performing cybersecurity risk assessments of our third-party service providers that may have access to our systems, data, facilities, or that otherwise perform services on our behalf and for conducting due diligence in connection with the onboarding of new third-party vendors.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core component of our enterprise risk management strategy, we maintain a rigorous cybersecurity program that is periodically evaluated through internal assessments and independent third-party audits. We perform comprehensive maturity assessments against the NIST CSF2.0 and the NIST Privacy Framework. These strategic reviews complement our sustained compliance posture, which includes recurring annual audits for ISO/IEC 27001, SOC 2 Type 2, PCI DSS, UK Cyber Essentials and HIPAA.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leverage these assessments to identify functional gaps and benchmark our cybersecurity program against applicable regulatory requirements. The resulting findings are integrated into a formal Remediation Roadmap designed to mature our security posture and drive continuous improvement. By integrating findings from both internal evaluations and independent external audits, we foster a culture of continuous improvement and operational resilience. Recognizing that the human element is a critical line of defense, we maintain a robust cybersecurity awareness program. This initiative equips our employees and contractors to recognize and mitigate evolving threats through continuous education and regular phishing simulation exercises designed to reinforce vigilant behavior. Our process also includes initial due diligence, ongoing monitoring, and periodic reassessments of our third-party service providers.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the event of a cybersecurity incident, we have an incident response framework that includes defined escalation procedures, cross-functional coordination protocols, regulatory notification assessment procedures, and post-incident review processes. We also periodically conduct cross-functional exercises and activities to help detect, assess and respond to cybersecurity incidents, and have relationships with external providers to assist with incident response efforts, as needed. We also seek to contractually require our third-party service providers to notify us in the event a cybersecurity incident within their systems or services impacts our data or operations. We maintain specific coverage to help mitigate losses associated with certain cybersecurity incidents that impact our or our third parties’ systems, networks and technology.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December 31, 2025, we have not identified any risks from cybersecurity threats, including as a result of any previous cybersecurity incidents, that have materially affected us, including our operations, business strategy, results of operations, or financial condition. We assess materiality based on quantitative and qualitative factors, including potential impact to our operations, financial condition, intellectual property, regulatory compliance obligations, and reputation. While we maintain a cybersecurity program, the techniques used to infiltrate information technology systems continue to evolve. Accordingly, we face risks from cybersecurity threats that, if realized, are reasonably likely to materially affect us, including our operations, business strategy, results of operations, or financial condition. For additional information, see Item 1A. “Risk Factors –Our information technology systems, or those used by our third-party collaborators or other contractors or consultants, may fail or suffer cybersecurity incidents or cyberattacks”.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83845"/>
                <wp:effectExtent l="0" t="0" r="0" b="0"/>
                <wp:wrapNone/>
                <wp:docPr id="137" name="Frame12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68" w:before="0" w:after="0"/>
        <w:ind w:left="0" w:right="0" w:firstLine="450"/>
        <w:jc w:val="left"/>
        <w:rPr/>
      </w:pPr>
      <w:r>
        <w:rPr>
          <w:rFonts w:ascii="Arial;sans-serif" w:hAnsi="Arial;sans-serif"/>
          <w:b/>
          <w:i/>
          <w:color w:val="000000"/>
          <w:sz w:val="20"/>
        </w:rPr>
        <w:t>Cybersecurity</w:t>
      </w:r>
      <w:r>
        <w:rPr>
          <w:color w:val="000000"/>
        </w:rPr>
        <w:t xml:space="preserve"> </w:t>
      </w:r>
      <w:r>
        <w:rPr>
          <w:rFonts w:ascii="Arial;sans-serif" w:hAnsi="Arial;sans-serif"/>
          <w:b/>
          <w:i/>
          <w:color w:val="000000"/>
          <w:sz w:val="20"/>
        </w:rPr>
        <w:t>Governance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Board of Directors administers its cybersecurity risk oversight function through its Audit Committee. The Audit Committee is charged with reviewing our cybersecurity and other information technology risks, controls, and procedures, including our processes to mitigate cybersecurity risks and respond to data or cybersecurity incidents. The Audit Committee is also charged with reviewing cybersecurity issues with management that could affect the adequacy of our internal controls. The Audit Committee meets periodically, and at least annually,with the CSO and/or VP, Security and the executive leadership team and receives a report on our cybersecurity program, posture, risks and other matters. At least annually, we conduct an organization-wide ERM process to evaluate key risks in different areas of the business including cybersecurity. During that process, cybersecurity risks are identified, and scores representing the potential likelihood and severity of each risk are determined. The executive leadership team and Audit Committee receive a direct report of the ERM program findings, including these cybersecurity risks and incidents it considers to be significant or potentially significant. Third-party assessors, consultants, counsel or other parties also participate in Audit Committee discussions as needed.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More broadly, the Audit Committee reviews our policies and practices with respect to risk assessment and risk management, including results from our overall ERM review, and discusses with management our major risk exposures and the steps that have been taken to monitor and control such exposures. Cybersecurity is a key piece of our overall ERM program. The Audit Committee oversees the activities of, and meets regularly with, our Chief Compliance Officer, and receives direct reports from the Chief Compliance Officer regarding the ERM structure and activities of our compliance program, including updates on training, policies, auditing and monitoring, investigations and any corrective and preventive actions. As part of the ERM program, our Chief Compliance Officer gathers information about cybersecurity risk, and that information is included in the Chief Compliance Officer’s report to the Audit Committee.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cybersecurity team and information technology system owners across the business are led by our CSO and VP, Security. Our CSO has over five years of tenure with the Company and more than 29 years of experience in technology, including 15 years in cybersecurity. He previously served as Chief Technology Officer at NextBio and as Vice President of Software Engineering, Enterprise Informatics at Illumina, Inc. He is supported by a cybersecurity organization comprising experts in strategy, governance, risk management, compliance, engineering, security operations, and incident response, including our VP, Security who has over two decades of specialized experience in cybersecurity and privacy. The CSO is responsible for implementing and overseeing the controls and processes employed to identify, assess and manage the Company’s risks from cybersecurity threats. We also maintain a Privacy and Security Steering Committee that regularly meets to review and discuss cybersecurity issues and review our cybersecurity-related metrics. The Privacy and Security Steering Committee is composed of the VP, Security, Chief Privacy Officer, Chief Compliance Officer, and other representatives from our cybersecurity, IT, legal, and privacy teams. The VP. Security, cybersecurity team, and members of the Privacy and Security Steering Committee combined have decades of experience in managing relevant information technology and cybersecurity matters. The VP, Security also provides regular briefings to our executive leadership team, including the CEO and CFO, and our Audit Committee on cybersecurity matters, such as threats, events, and the state of the program, and at least annually as part of our ERM process.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Our management team takes steps to stay informed about and monitor efforts to prevent, detect, mitigate, and remediate cybersecurity risks and incidents through various means, which may include briefings from IT personnel; threat 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83845"/>
                <wp:effectExtent l="0" t="0" r="0" b="0"/>
                <wp:wrapNone/>
                <wp:docPr id="138" name="Frame13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principal office and research laboratory is approximately 74,300 square feet and located at 1525 O’Brien Drive, Menlo Park, California. We also lease office space of approximately 57,400 square feet at 1605 Adams Drive, Menlo Park, California. These leases expire on September 30, 2026. The Company plans to relocate its headquarters to Sunnyvale, California upon expiration of these leases. </w:t>
      </w:r>
    </w:p>
    <w:p>
      <w:pPr>
        <w:pStyle w:val="TextBody"/>
        <w:bidi w:val="0"/>
        <w:spacing w:lineRule="auto" w:line="288" w:before="240" w:after="283"/>
        <w:ind w:left="0" w:right="0" w:firstLine="450"/>
        <w:jc w:val="left"/>
        <w:rPr/>
      </w:pPr>
      <w:r>
        <w:rPr>
          <w:rFonts w:ascii="Arial;sans-serif" w:hAnsi="Arial;sans-serif"/>
          <w:b w:val="false"/>
          <w:color w:val="000000"/>
          <w:sz w:val="20"/>
        </w:rPr>
        <w:t>In June 2020, we entered into an agreement to lease approximately 200,000 square feet of a building in Durham, North Carolina which is primarily a commercial laboratory capable of meeting demand of up to one million tests per year. We have approximately</w:t>
      </w:r>
      <w:r>
        <w:rPr>
          <w:color w:val="000000"/>
          <w:shd w:fill="FFFFFF" w:val="clear"/>
        </w:rPr>
        <w:t xml:space="preserve"> </w:t>
      </w:r>
      <w:r>
        <w:rPr>
          <w:rFonts w:ascii="Arial;sans-serif" w:hAnsi="Arial;sans-serif"/>
          <w:b w:val="false"/>
          <w:color w:val="000000"/>
          <w:sz w:val="20"/>
          <w:shd w:fill="FFFFFF" w:val="clear"/>
        </w:rPr>
        <w:t>46,000 s</w:t>
      </w:r>
      <w:r>
        <w:rPr>
          <w:rFonts w:ascii="Arial;sans-serif" w:hAnsi="Arial;sans-serif"/>
          <w:b w:val="false"/>
          <w:color w:val="000000"/>
          <w:sz w:val="20"/>
        </w:rPr>
        <w:t>quare feet of CAP-accredited, CLIA-certified laboratory space with sufficient capacity to support multiple years of growth. This lease expires in 2033 and we have three separate options to extend the lease, each for an additional five years. We hold a CLIA Certificate of Accreditation Registration from the CMS,an accreditation from CAP, and certifications from the State of California Department of Public Health and New York State Department of Health, among others, for our North Carolina laboratory.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September 2025, we entered into an agreement to lease an aggregate of approximately 75,556 square feet for our new corporate headquarters located at 250 S. Matilda Avenue, Suite 100 in Sunnyvale, California. This lease is expected to commence on or about October 1, 2026 and expire on or about September 30, 2037. We have the option to expand into additional space and renew the lease for an additional five-year term under specified conditions.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We believe that our facilities are sufficient to meet our current and anticipated near-term needs.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For financial information regarding leases, refer to </w:t>
      </w:r>
      <w:r>
        <w:rPr>
          <w:rFonts w:ascii="Arial;sans-serif" w:hAnsi="Arial;sans-serif"/>
          <w:b w:val="false"/>
          <w:i/>
          <w:color w:val="000000"/>
          <w:sz w:val="20"/>
        </w:rPr>
        <w:t xml:space="preserve">Note 9 — Leases </w:t>
      </w:r>
      <w:r>
        <w:rPr>
          <w:rFonts w:ascii="Arial;sans-serif" w:hAnsi="Arial;sans-serif"/>
          <w:b w:val="false"/>
          <w:color w:val="000000"/>
          <w:sz w:val="20"/>
        </w:rPr>
        <w:t xml:space="preserve">in Item 8 in this </w:t>
      </w:r>
      <w:r>
        <w:rPr>
          <w:rFonts w:ascii="Arial;sans-serif" w:hAnsi="Arial;sans-serif"/>
          <w:b w:val="false"/>
          <w:color w:val="000000"/>
          <w:sz w:val="20"/>
          <w:shd w:fill="FFFFFF" w:val="clear"/>
        </w:rPr>
        <w:t>Annual Report on Form 10-K</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 xml:space="preserve">For information regarding Legal Proceedings, refer to </w:t>
      </w:r>
      <w:r>
        <w:rPr>
          <w:rFonts w:ascii="Arial;sans-serif" w:hAnsi="Arial;sans-serif"/>
          <w:b w:val="false"/>
          <w:i/>
          <w:color w:val="000000"/>
          <w:sz w:val="20"/>
        </w:rPr>
        <w:t xml:space="preserve">Note 11 — Legal And Regulatory Proceedings </w:t>
      </w:r>
      <w:r>
        <w:rPr>
          <w:rFonts w:ascii="Arial;sans-serif" w:hAnsi="Arial;sans-serif"/>
          <w:b w:val="false"/>
          <w:color w:val="000000"/>
          <w:sz w:val="20"/>
        </w:rPr>
        <w:t xml:space="preserve">in Item 8 </w:t>
      </w:r>
      <w:r>
        <w:rPr>
          <w:rFonts w:ascii="Arial;sans-serif" w:hAnsi="Arial;sans-serif"/>
          <w:b w:val="false"/>
          <w:color w:val="000000"/>
          <w:sz w:val="20"/>
          <w:shd w:fill="FFFFFF" w:val="clear"/>
        </w:rPr>
        <w:t>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information for common stock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GRAIL’s common stock is traded under the symbol “GRAL” and is listed on the Nasdaq Stock Exchange since June 24,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Holders of record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March 6, 2026, there were 440 holders of record of our common stock. Because many of our shares of common stock are held by brokers and other institutions on behalf of stockholders, we are unable to estimate the total number of stockholders represented by these record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83845"/>
                <wp:effectExtent l="0" t="0" r="0" b="0"/>
                <wp:wrapNone/>
                <wp:docPr id="139" name="Frame13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have never declared or paid any dividends on our common stock. 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Unregistered sales of equity securities</w:t>
      </w:r>
    </w:p>
    <w:p>
      <w:pPr>
        <w:pStyle w:val="TextBody"/>
        <w:bidi w:val="0"/>
        <w:spacing w:before="0" w:after="0"/>
        <w:ind w:left="0" w:right="0" w:firstLine="720"/>
        <w:jc w:val="left"/>
        <w:rPr/>
      </w:pPr>
      <w:r>
        <w:rPr/>
      </w:r>
    </w:p>
    <w:p>
      <w:pPr>
        <w:pStyle w:val="TextBody"/>
        <w:bidi w:val="0"/>
        <w:spacing w:lineRule="auto" w:line="268" w:before="0" w:after="0"/>
        <w:ind w:left="0" w:right="0" w:firstLine="45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Disclosure about unregistered sales of equity securities during the quarter ended December 31, 2025 was previously reported in a Current Report on Form 8-K filed on October 20, 2025.</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83845"/>
                <wp:effectExtent l="0" t="0" r="0" b="0"/>
                <wp:wrapNone/>
                <wp:docPr id="140" name="Frame13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Item 7. Management's Discussion and Analysis of Financial Condition and Results of Operations</w:t>
      </w:r>
    </w:p>
    <w:p>
      <w:pPr>
        <w:pStyle w:val="TextBody"/>
        <w:bidi w:val="0"/>
        <w:spacing w:lineRule="auto" w:line="288" w:before="240" w:after="283"/>
        <w:ind w:left="0" w:right="0" w:firstLine="450"/>
        <w:jc w:val="left"/>
        <w:rPr/>
      </w:pPr>
      <w:r>
        <w:rPr>
          <w:rFonts w:ascii="Arial;sans-serif" w:hAnsi="Arial;sans-serif"/>
          <w:b w:val="false"/>
          <w:i/>
          <w:color w:val="000000"/>
          <w:sz w:val="20"/>
        </w:rPr>
        <w:t xml:space="preserve">You should read the following discussion of our results of operations and financial condition together with our accompanying consolidated financial statements and the notes thereto included under Item 8. “Financial Statements”.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 entitled “Risk Factors” in Part I, Item 1A of this Annual Report on Form 10-K and the section titled “Cautionary Statement Concerning Forward-Looking Statements” of this Annual Report on Form 10-K. Our fiscal year end is December 31. </w:t>
      </w:r>
      <w:r>
        <w:rPr>
          <w:rFonts w:ascii="Arial;sans-serif" w:hAnsi="Arial;sans-serif"/>
          <w:b w:val="false"/>
          <w:i/>
          <w:color w:val="231F20"/>
          <w:sz w:val="20"/>
        </w:rPr>
        <w:t>References to 2025</w:t>
      </w:r>
      <w:r>
        <w:rPr>
          <w:rFonts w:ascii="Arial;sans-serif" w:hAnsi="Arial;sans-serif"/>
          <w:b w:val="false"/>
          <w:i/>
          <w:color w:val="000000"/>
          <w:sz w:val="20"/>
        </w:rPr>
        <w:t>, 2024,</w:t>
      </w:r>
      <w:r>
        <w:rPr>
          <w:color w:val="231F20"/>
        </w:rPr>
        <w:t xml:space="preserve"> </w:t>
      </w:r>
      <w:r>
        <w:rPr>
          <w:rFonts w:ascii="Arial;sans-serif" w:hAnsi="Arial;sans-serif"/>
          <w:b w:val="false"/>
          <w:i/>
          <w:color w:val="231F20"/>
          <w:sz w:val="20"/>
        </w:rPr>
        <w:t xml:space="preserve">and </w:t>
      </w:r>
      <w:r>
        <w:rPr>
          <w:rFonts w:ascii="Arial;sans-serif" w:hAnsi="Arial;sans-serif"/>
          <w:b w:val="false"/>
          <w:i/>
          <w:color w:val="000000"/>
          <w:sz w:val="20"/>
        </w:rPr>
        <w:t>2023</w:t>
      </w:r>
      <w:r>
        <w:rPr>
          <w:color w:val="231F20"/>
        </w:rPr>
        <w:t xml:space="preserve"> </w:t>
      </w:r>
      <w:r>
        <w:rPr>
          <w:rFonts w:ascii="Arial;sans-serif" w:hAnsi="Arial;sans-serif"/>
          <w:b w:val="false"/>
          <w:i/>
          <w:color w:val="231F20"/>
          <w:sz w:val="20"/>
        </w:rPr>
        <w:t>refer</w:t>
      </w:r>
      <w:r>
        <w:rPr>
          <w:color w:val="231F20"/>
        </w:rPr>
        <w:t xml:space="preserve"> </w:t>
      </w:r>
      <w:r>
        <w:rPr>
          <w:rFonts w:ascii="Arial;sans-serif" w:hAnsi="Arial;sans-serif"/>
          <w:b w:val="false"/>
          <w:i/>
          <w:color w:val="231F20"/>
          <w:sz w:val="20"/>
        </w:rPr>
        <w:t>to the fiscal</w:t>
      </w:r>
      <w:r>
        <w:rPr>
          <w:color w:val="231F20"/>
        </w:rPr>
        <w:t xml:space="preserve"> </w:t>
      </w:r>
      <w:r>
        <w:rPr>
          <w:rFonts w:ascii="Arial;sans-serif" w:hAnsi="Arial;sans-serif"/>
          <w:b w:val="false"/>
          <w:i/>
          <w:color w:val="231F20"/>
          <w:sz w:val="20"/>
        </w:rPr>
        <w:t xml:space="preserve">years ended </w:t>
      </w:r>
      <w:r>
        <w:rPr>
          <w:rFonts w:ascii="Arial;sans-serif" w:hAnsi="Arial;sans-serif"/>
          <w:b w:val="false"/>
          <w:i/>
          <w:color w:val="000000"/>
          <w:sz w:val="20"/>
        </w:rPr>
        <w:t>December 31, 2025</w:t>
      </w:r>
      <w:r>
        <w:rPr>
          <w:rFonts w:ascii="Arial;sans-serif" w:hAnsi="Arial;sans-serif"/>
          <w:b w:val="false"/>
          <w:i/>
          <w:color w:val="231F20"/>
          <w:sz w:val="20"/>
        </w:rPr>
        <w:t xml:space="preserve">, </w:t>
      </w:r>
      <w:r>
        <w:rPr>
          <w:rFonts w:ascii="Arial;sans-serif" w:hAnsi="Arial;sans-serif"/>
          <w:b w:val="false"/>
          <w:i/>
          <w:color w:val="000000"/>
          <w:sz w:val="20"/>
        </w:rPr>
        <w:t xml:space="preserve">December 31, 2024, </w:t>
      </w:r>
      <w:r>
        <w:rPr>
          <w:rFonts w:ascii="Arial;sans-serif" w:hAnsi="Arial;sans-serif"/>
          <w:b w:val="false"/>
          <w:i/>
          <w:color w:val="231F20"/>
          <w:sz w:val="20"/>
        </w:rPr>
        <w:t xml:space="preserve">and </w:t>
      </w:r>
      <w:r>
        <w:rPr>
          <w:rFonts w:ascii="Arial;sans-serif" w:hAnsi="Arial;sans-serif"/>
          <w:b w:val="false"/>
          <w:i/>
          <w:color w:val="000000"/>
          <w:sz w:val="20"/>
        </w:rPr>
        <w:t>December 31, 2023</w:t>
      </w:r>
      <w:r>
        <w:rPr>
          <w:rFonts w:ascii="Arial;sans-serif" w:hAnsi="Arial;sans-serif"/>
          <w:b w:val="false"/>
          <w:i/>
          <w:color w:val="231F20"/>
          <w:sz w:val="20"/>
        </w:rPr>
        <w:t xml:space="preserve">. </w:t>
      </w:r>
      <w:r>
        <w:rPr>
          <w:rFonts w:ascii="Arial;sans-serif" w:hAnsi="Arial;sans-serif"/>
          <w:b w:val="false"/>
          <w:i/>
          <w:color w:val="000000"/>
          <w:sz w:val="20"/>
        </w:rPr>
        <w:t>This section of this report generally discusses 2025 and 2024 items and year-to-year comparisons between 2025 and 2024. A detailed discussion comparing our results of operations for 2024</w:t>
      </w:r>
      <w:r>
        <w:rPr>
          <w:color w:val="231F20"/>
        </w:rPr>
        <w:t xml:space="preserve"> </w:t>
      </w:r>
      <w:r>
        <w:rPr>
          <w:rFonts w:ascii="Arial;sans-serif" w:hAnsi="Arial;sans-serif"/>
          <w:b w:val="false"/>
          <w:i/>
          <w:color w:val="231F20"/>
          <w:sz w:val="20"/>
        </w:rPr>
        <w:t xml:space="preserve">and </w:t>
      </w:r>
      <w:r>
        <w:rPr>
          <w:rFonts w:ascii="Arial;sans-serif" w:hAnsi="Arial;sans-serif"/>
          <w:b w:val="false"/>
          <w:i/>
          <w:color w:val="000000"/>
          <w:sz w:val="20"/>
        </w:rPr>
        <w:t xml:space="preserve">2023 can be found in “Management’s Discussion and Analysis of Financial Condition and Results of Operations” in Part II, Item 7 of our Annual Report on Form 10-K, for the year ended December 31, 2024.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On September 20, 2020, GRAIL, Inc., Illumina and its subsidiaries, SDG Ops, LLC, and SDG Ops, Inc., entered into an agreement and plan of merger (the “Merger Agreement”). On August 18, 2021 (the “Closing Date”), Illumina completed its acquisition of GRAIL, Inc. According to the terms and conditions of the Merger Agreement, SDG Ops, Inc. and GRAIL, Inc. merged, with GRAIL, Inc. surviving and became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On June 24, 2024, Illumina completed the previously announced spin-off of GRAIL (the “Spin-Off”) through a distribution of approximately 85.5% of our outstanding common stock to the holders of record of Illumina’s common stock as of the close of business on June 13, 2024 (the “Distribution”). As a result of this Distribution, GRAIL became an independent public entity.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Unless the context otherwise requires, references to "GRAIL," “we,” “us,” and the "Company" refer to (i) GRAIL, LLC and its consolidated subsidiaries prior to the Spin-Off as a carve-out business of Illumina and (ii) GRAIL, Inc. and its subsidiaries following the Spin-Off.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Overview</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Our Business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are an innovative commercial-stage healthcare company focused on shifting the paradigm in early cancer detection at population scale. We believe screening individuals for many types of cancer with a single test represents a significant opportunity to reduce the global burden of cancer. Our multi-cancer early detection test (“Galleri”) can screen for many types of cancer, accurately predicting the specific organ or tissue type where the cancer signal originated (the “Cancer Signal of Origin”, or “CSO”), with high positive predictive values (“PPV”) and low false positive rates, all from a simple blood draw. Galleri has detected some of the most aggressive cancers in early stages including, among others, endometrial, esophageal, gastrointestinal, head and neck, liver, pancreatic, and rectal cancers. We have conducted what we believe is the largest clinical program in genomic medicine to date with data from over 385,000 participants that we believe demonstrate the clinical validation and clinical utility of Galleri in its intended use population. We have deep operational experience with over 800,000 tests processed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83845"/>
                <wp:effectExtent l="0" t="0" r="0" b="0"/>
                <wp:wrapNone/>
                <wp:docPr id="141" name="Frame13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across this clinical program and from our commercial experience, including through partnerships with leading healthcare systems, employers, digital health platforms, payors, and life insurance providers.</w:t>
      </w:r>
    </w:p>
    <w:p>
      <w:pPr>
        <w:pStyle w:val="TextBody"/>
        <w:bidi w:val="0"/>
        <w:spacing w:lineRule="auto" w:line="288" w:before="240" w:after="283"/>
        <w:ind w:left="0" w:right="0" w:firstLine="450"/>
        <w:jc w:val="left"/>
        <w:rPr/>
      </w:pPr>
      <w:r>
        <w:rPr>
          <w:rFonts w:ascii="Arial;sans-serif" w:hAnsi="Arial;sans-serif"/>
          <w:b w:val="false"/>
          <w:color w:val="000000"/>
          <w:sz w:val="20"/>
        </w:rPr>
        <w:t>Recently we announced results from two of our large clinical trials, PATHFINDER 2 and NHS-Galleri Trial, and included certain results from those studies in our pre-market approval application (“PMA”) to the Food and Drug Administration (“FDA”), the last module of which we submitted in January 2026. Performance and safety data focused on the first approximately 25,000 participants of our</w:t>
      </w:r>
      <w:r>
        <w:rPr>
          <w:color w:val="000000"/>
          <w:shd w:fill="FFFFFF" w:val="clear"/>
        </w:rPr>
        <w:t xml:space="preserve"> </w:t>
      </w:r>
      <w:r>
        <w:rPr>
          <w:rFonts w:ascii="Arial;sans-serif" w:hAnsi="Arial;sans-serif"/>
          <w:b w:val="false"/>
          <w:color w:val="000000"/>
          <w:sz w:val="20"/>
          <w:shd w:fill="FFFFFF" w:val="clear"/>
        </w:rPr>
        <w:t>approximately 35,000 parti</w:t>
      </w:r>
      <w:r>
        <w:rPr>
          <w:rFonts w:ascii="Arial;sans-serif" w:hAnsi="Arial;sans-serif"/>
          <w:b w:val="false"/>
          <w:color w:val="000000"/>
          <w:sz w:val="20"/>
        </w:rPr>
        <w:t xml:space="preserve">cipant PATHFINDER 2 study were presented at the European Society for Medical Oncology (“ESMO”) in October 2025 (the “PATHFINDER 2 Initial Results”) and demonstrated that adding Galleri to recommended (breast, cervical, colorectal and lung) screenings led to a cancer detection rate more than seven-fold increase in the number of cancers found within a year, and an approximately three-fold increase when prostate screening was included. Results from the full approximately 35,000 participants in the PATHFINDER 2 study were generally consistent with the results presented at ESMO. We also announced topline results from our three year, randomized control NHS-Galleri Trial which demonstrated a substantial reduction in stage 4 cancer diagnoses, increased stage 1 and 2 detection of deadly cancers, and four-fold higher cancer detection rate when compared to recommended screenings alone, although the primary endpoint of statistically significant combined stage 3 and 4 reduction was not observed. However, there was a favorable trend toward fewer combined stage 3 and 4 cancers in a pre-specified group of 12 deadly cancers in the intervention arm after the prevalent screening round. The PATHFINDER 2 Initial Results and the performance and safety metrics from the first year (prevalent screening round) of our NHS-Galleri Trial (“NHS-Galleri Prevalent Screening Round Results”) were included in our PMA submission, along with results of a bridging study. </w:t>
      </w:r>
    </w:p>
    <w:p>
      <w:pPr>
        <w:pStyle w:val="TextBody"/>
        <w:bidi w:val="0"/>
        <w:spacing w:lineRule="auto" w:line="288" w:before="240" w:after="283"/>
        <w:ind w:left="0" w:right="0" w:firstLine="450"/>
        <w:jc w:val="left"/>
        <w:rPr/>
      </w:pPr>
      <w:r>
        <w:rPr>
          <w:rFonts w:ascii="Arial;sans-serif" w:hAnsi="Arial;sans-serif"/>
          <w:b w:val="false"/>
          <w:color w:val="000000"/>
          <w:sz w:val="20"/>
        </w:rPr>
        <w:t>We designed Galleri to detect cancer early, when it is more amenable to curative treatment, and we launched Galleri in the United States in mid-2021. Galleri works by detecting DNA fragments shed into the bloodstream by tumor cells and analyzing specific methylation patterns that can be used to both identify a general cancer signal and localize that signal to a specific organ or tissue type. We have sold</w:t>
      </w:r>
      <w:r>
        <w:rPr>
          <w:color w:val="000000"/>
          <w:shd w:fill="FFFFFF" w:val="clear"/>
        </w:rPr>
        <w:t xml:space="preserve"> </w:t>
      </w:r>
      <w:r>
        <w:rPr>
          <w:rFonts w:ascii="Arial;sans-serif" w:hAnsi="Arial;sans-serif"/>
          <w:b w:val="false"/>
          <w:color w:val="000000"/>
          <w:sz w:val="20"/>
          <w:shd w:fill="FFFFFF" w:val="clear"/>
        </w:rPr>
        <w:t>approximately</w:t>
      </w:r>
      <w:r>
        <w:rPr>
          <w:color w:val="000000"/>
        </w:rPr>
        <w:t xml:space="preserve"> </w:t>
      </w:r>
      <w:r>
        <w:rPr>
          <w:rFonts w:ascii="Arial;sans-serif" w:hAnsi="Arial;sans-serif"/>
          <w:b w:val="false"/>
          <w:color w:val="000000"/>
          <w:sz w:val="20"/>
        </w:rPr>
        <w:t>475,000 commercial Galleri tests through December 31, 2025, including more than 185,000 in 2025, which have detected some of the most aggressive cancers in early stages including, among others, endometrial, esophageal, gastrointestinal, head and neck, liver, pancreatic, and rectal cancers.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an early pioneer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ESMO, and American Academy of Family Physicians (“AAFP”). We have also published results from our studies in leading scientific and medical journals, including The Lancet, Nature, Nature Medicine, Cancer Cell, and The Lancet Oncology. </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Since our inception, we have incurred net losses each year. Our net losses were </w:t>
      </w:r>
      <w:r>
        <w:rPr>
          <w:rFonts w:ascii="Arial;sans-serif" w:hAnsi="Arial;sans-serif"/>
          <w:b w:val="false"/>
          <w:color w:val="000000"/>
          <w:sz w:val="20"/>
        </w:rPr>
        <w:t>$408.4 million, $2.0 billion and $1.5 billion for 2025, 2024 and 2023</w:t>
      </w:r>
      <w:r>
        <w:rPr>
          <w:rFonts w:ascii="Arial;sans-serif" w:hAnsi="Arial;sans-serif"/>
          <w:b w:val="false"/>
          <w:color w:val="231F20"/>
          <w:sz w:val="20"/>
        </w:rPr>
        <w:t xml:space="preserve">. Adjusted EBITDA was </w:t>
      </w:r>
      <w:r>
        <w:rPr>
          <w:rFonts w:ascii="Arial;sans-serif" w:hAnsi="Arial;sans-serif"/>
          <w:b w:val="false"/>
          <w:color w:val="000000"/>
          <w:sz w:val="20"/>
        </w:rPr>
        <w:t>$(320.6) million, $(483.5) million and $(523.9) million for 2025, 2024</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2023</w:t>
      </w:r>
      <w:r>
        <w:rPr>
          <w:rFonts w:ascii="Arial;sans-serif" w:hAnsi="Arial;sans-serif"/>
          <w:b w:val="false"/>
          <w:color w:val="231F20"/>
          <w:sz w:val="20"/>
        </w:rPr>
        <w:t xml:space="preserve">. </w:t>
      </w:r>
      <w:r>
        <w:rPr>
          <w:rFonts w:ascii="Arial;sans-serif" w:hAnsi="Arial;sans-serif"/>
          <w:b w:val="false"/>
          <w:color w:val="000000"/>
          <w:sz w:val="20"/>
        </w:rPr>
        <w:t>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assets impairments, amortization of intangible assets, as well as our research and development programs, general and administrative (“G&amp;A”) costs associated with our operations, and sales and marketing costs associated with commercializing our products. Additionally, due to the application of pushdown accounting, our balance sheet includes intangible assets recognized by Illumina in connection with their acquisition of us that may be subject to additional impairment over time. We expect to continue to incur operating losses over at least the next several years as we continue to invest in research and development and commercialization of existing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83845"/>
                <wp:effectExtent l="0" t="0" r="0" b="0"/>
                <wp:wrapNone/>
                <wp:docPr id="142" name="Frame13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129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both"/>
        <w:rPr>
          <w:rFonts w:ascii="Arial;sans-serif" w:hAnsi="Arial;sans-serif"/>
          <w:b/>
          <w:i/>
          <w:color w:val="000000"/>
          <w:sz w:val="20"/>
        </w:rPr>
      </w:pPr>
      <w:r>
        <w:rPr>
          <w:rFonts w:ascii="Arial;sans-serif" w:hAnsi="Arial;sans-serif"/>
          <w:b/>
          <w:i/>
          <w:color w:val="000000"/>
          <w:sz w:val="20"/>
        </w:rPr>
        <w:t>$325 million Private Investment of Public Equity (the “PIPE”)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18, 2025, we entered into a securities purchase agreement (the "Purchase Agreement") with certain investors for the private placement of (i) 2,640,970 shares of GRAIL's common stock at a price of $70.05 per share and (ii) pre-funded warrants to purchase an aggregate of 1,998,573 shares of GRAIL’s common stock (the "Pre-Funded Warrants") at a purchase price of $70.049 per Pre-Funded Warrant, which represents the per share price for the common stock less the $0.001 exercise price. The PIPE closed on October 21, 2025, at which time we received aggregate net proceeds of $311.3 million, after deducting issuance costs of $13.7 million.</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In addition, in connection with the Purchase Agreement, we entered into a Registration Rights Agreement with all of the investors (the “Registration Rights Agreement”). Pursuant to the Registration Rights Agreement, we filed a registration statement on Form S-3 with the SEC on November 13, 2025 for purposes of registering the resale of the shares and the shares of common stock issuable upon exercise of the Pre-Funded Warrants purchased in the private placement.</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ATM Program</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November 14, 2025, we entered into an equity distribution agreement (“Equity Distribution Agreement”), with certain sales agents, establishing an At the Market Equity Distribution Program, under which we may offer and sell shares of our common stock, having an aggregate offering price of $300.0 million or up to 6,900,000 of common stock shares (the “ATM Program”).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During the year ended December 31, 2025, we issued 1,169,218 shares of our common stock pursuant to the ATM Program and we received aggregate net proceeds of $107.5 million, after deducting issuance costs of $3.2 million. As of December 31, 2025, $189.3 million worth of shares of common stock remained available for sale pursuant to the ATM Program.</w:t>
      </w:r>
    </w:p>
    <w:p>
      <w:pPr>
        <w:pStyle w:val="TextBody"/>
        <w:bidi w:val="0"/>
        <w:spacing w:lineRule="auto" w:line="288" w:before="240" w:after="283"/>
        <w:ind w:left="0" w:right="0" w:firstLine="450"/>
        <w:jc w:val="both"/>
        <w:rPr>
          <w:rFonts w:ascii="Arial;sans-serif" w:hAnsi="Arial;sans-serif"/>
          <w:b/>
          <w:i/>
          <w:color w:val="000000"/>
          <w:sz w:val="20"/>
        </w:rPr>
      </w:pPr>
      <w:r>
        <w:rPr>
          <w:rFonts w:ascii="Arial;sans-serif" w:hAnsi="Arial;sans-serif"/>
          <w:b/>
          <w:i/>
          <w:color w:val="000000"/>
          <w:sz w:val="20"/>
        </w:rPr>
        <w:t>Strategic Collaboration with Samsung and $110 million Equity Investment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October 2025, we announced a strategic collaboration with Samsung C&amp;T Corporation (“Samsung C&amp;T”), Samsung Electronics Singapore Pte. Ltd. (together with Samsung C&amp;T, the “Samsung Investors”) and Samsung Electronics Co., Ltd. (“Samsung Electronics”). As part of this strategic collaboration, we and Samsung C&amp;T intend to work as exclusive partners to commercialize Galleri in Korea and, potentially, other key Asian markets, including Japan and Singapore. In addition, we and Samsung Electronics intend to explore potential additional strategic and operational collaborations, such as supporting longitudinal genomic-lifestyle clinical research and the integration of Samsung Electronics’ health data platform with our technologies and data.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In connection with this strategic collaboration, we entered into a stock purchase agreement (the “Samsung Stock Purchase Agreement”), with the Samsung Investors and Samsung Electronics, providing for the issuance and sale by us to the Samsung Investors in a private placement of </w:t>
      </w:r>
      <w:r>
        <w:rPr>
          <w:rFonts w:ascii="Arial;sans-serif" w:hAnsi="Arial;sans-serif"/>
          <w:b w:val="false"/>
          <w:color w:val="231F20"/>
          <w:sz w:val="20"/>
        </w:rPr>
        <w:t>1,570,308</w:t>
      </w:r>
      <w:r>
        <w:rPr>
          <w:color w:val="000000"/>
        </w:rPr>
        <w:t xml:space="preserve"> </w:t>
      </w:r>
      <w:r>
        <w:rPr>
          <w:rFonts w:ascii="Arial;sans-serif" w:hAnsi="Arial;sans-serif"/>
          <w:b w:val="false"/>
          <w:color w:val="000000"/>
          <w:sz w:val="20"/>
        </w:rPr>
        <w:t xml:space="preserve">shares of our common stock, at a purchase price of </w:t>
      </w:r>
      <w:r>
        <w:rPr>
          <w:rFonts w:ascii="Arial;sans-serif" w:hAnsi="Arial;sans-serif"/>
          <w:b w:val="false"/>
          <w:color w:val="231F20"/>
          <w:sz w:val="20"/>
        </w:rPr>
        <w:t>$70.05</w:t>
      </w:r>
      <w:r>
        <w:rPr>
          <w:color w:val="000000"/>
        </w:rPr>
        <w:t xml:space="preserve"> </w:t>
      </w:r>
      <w:r>
        <w:rPr>
          <w:rFonts w:ascii="Arial;sans-serif" w:hAnsi="Arial;sans-serif"/>
          <w:b w:val="false"/>
          <w:color w:val="000000"/>
          <w:sz w:val="20"/>
        </w:rPr>
        <w:t xml:space="preserve">per share, upon the terms and conditions set forth in the Samsung Stock Purchase Agreement, for aggregate gross proceeds of approximately $110.0 million (the “Samsung Investment”). The Samsung Investment is subject to the satisfaction of certain closing conditions set forth in the Samsung Stock Purchase Agreement, including, but not limited to the satisfaction of certain regulatory approvals or clearances, including with respect to the Committee on Foreign Investment in the United States.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intend to use the net proceeds from all our equity offerings to fund our commercial activities and reimbursement efforts, as well as for working capital and other general corporate purposes.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Separation from Illumina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June 21, 2024, Illumina completed the previously announced spin-off of GRAIL (the “Spin-Off”). The Spin-Off was completed through a distribution of approximately 85.5% of our outstanding common stock to the holders of record of Illumina’s common stock as of the close of business on June 13, 2024 (the “Distribution”), which resulted in the issuance of 31,049,148 shares of common stock. As a result of this Distribution, GRAIL became an independent public entity. GRAIL’s common stock is listed under the ticker symbol “GRAL” on the Nasdaq Stock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83845"/>
                <wp:effectExtent l="0" t="0" r="0" b="0"/>
                <wp:wrapNone/>
                <wp:docPr id="143" name="Frame13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We entered into or adopted agreements that provide a framework for the relationship between us and Illumina in connection with the Spin-Off. Refer to </w:t>
      </w:r>
      <w:r>
        <w:rPr>
          <w:rFonts w:ascii="Arial;sans-serif" w:hAnsi="Arial;sans-serif"/>
          <w:b w:val="false"/>
          <w:i/>
          <w:color w:val="000000"/>
          <w:sz w:val="20"/>
        </w:rPr>
        <w:t xml:space="preserve">Note 1 — Organization And Description Of Business </w:t>
      </w:r>
      <w:r>
        <w:rPr>
          <w:rFonts w:ascii="Arial;sans-serif" w:hAnsi="Arial;sans-serif"/>
          <w:b w:val="false"/>
          <w:color w:val="000000"/>
          <w:sz w:val="20"/>
        </w:rPr>
        <w:t xml:space="preserve">in Item 8 in this Annual Report on Form 10K.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June 21, 2024, in connection with the Spin-Off, we received a cash contribution of $932.3 million from Illumina. In connection with the Spin-Off, we incurred $22.2 million of legal and professional fees in the year ended December 31, 2024 related to the 2021 acquisition of GRAIL by Illumina, and corresponding antitrust litigation, including compliance with the hold separate arrangements imposed by the European Commission, and divestiture of GRAIL from Illumina through the Spin-Off. See “Non-GAAP Financial Measures — Adjusted EBITDA” for further details. In addition, from 2021 to 2024, we spent $143.8 million on legal and professional service fees related to the antitrust litigation and compliance with the hold separate order and transaction costs related to Illumina’s acquisition of GRAIL and the Spin-Off.</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Illumina held 2,502,126 shares of common stock representing a less than 10% stake in the Company. On February 17, 2026, Illumina filed a Schedule 13G reporting beneficial ownership of 1,302,126 shares of our common stock.</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Restructuring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August 9, 2024, following a portfolio review, our Board of Directors (the “Board”) approved a restructuring plan (“Restructuring Plan”) designed to reprioritize our resources to focus on our core MCED business and reduce overall spend as we progressed towards completion of registrational studies and PMA submission to the FDA for Galleri.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result, we streamlined our commercial sales forces to focus on productive customers and high priority opportunities, while maintaining sales force coverage for the majority of our current Galleri volume and active prescribers. We also streamlined the investment in enterprise business, including our employer and life insurance businesses. These changes involved simplifying management layers and commercial roles without sales responsibilities, along with reductions in medical affairs teams involved with U.S. Galleri provider engagement.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substantially decreased investment and planned investment in research and development activities related to our product programs beyond Galleri, including our diagnostic aid for cancer (“DAC”) and minimal residual disease programs. In addition, we made reductions in general and administrative expenses to reflect the focus on the MCED opportunity. We plan to continue to invest in our biopharmaceutical partnerships and work with our partners to leverage our proprietary methylation technology in precision oncology applications.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decision was based on cost-reduction initiatives intended to reduce our ongoing operating expenses and maximize shareholder value.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Restructuring Plan included a reduction in our existing headcount and planned 2024 hires of approximately 30%, inclusive of 350 then full-time employees, or approximately 25% of the workforce in place as of June 30, 2024.</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Restructuring Plan was substantially completed in the fourth quarter of 2024, and we incurred $18.3 million of total charges through the fourth quarter of 2024, consisting primarily of employee severance, benefits, payroll taxes, and other associated costs. For the year ended December 31, 2025, we incurred an immaterial amount of restructuring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83845"/>
                <wp:effectExtent l="0" t="0" r="0" b="0"/>
                <wp:wrapNone/>
                <wp:docPr id="144" name="Frame13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Basis of Presentation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on a standalone basis using the consolidated financial statements and accounting records of Illumina prior to the Spin-Off, and the accounting records of GRAIL, Inc. subsequent to the Spin-Off. These consolidated financial statements reflect our consolidated historical financial position, results of operations and cash flows as historically managed, in accordance with GAAP. The consolidated financial statements may not be indicative of our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prior to the Spin-Off.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Illumina’s acquisition of GRAIL on August 18, 2021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 names, as well as goodwill.</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have incurred and expect to incur additional costs as a separate public company, and particularly as we transition to a large accelerated filer as of December 31, 2026 and are subject to enhanced reporting and internal control requirements under the Sarbanes-Oxley Act of 2002. These additional costs are primarily related to certain supporting functions that may differ from and be higher than the costs historically incurred or allocated to us.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additional costs we expect to incur as a separate public company are summarized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Accounting and audit related costs, professional services, and new systems and software to support the accounting, financial reporting, and audits as a standalone public company;</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Professional service costs, for additional support to enhance our capabilities in areas such as investor relations, accounting, financial reporting, treasury, risk management, and equity administration, among others;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Corporate governance costs, including but not limited to board of directors compensation and expenses, insurance, legal and other professional services fees, annual report and proxy statement costs, SEC filing fees, transfer agent fees, and stock exchange listing fees.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addition, we have entered into a supply and commercialization agreement with Illumina (the “Illumina Supply Agreement”). Under the terms of the Illumina Supply Agreement, regardless of whether our products incorporate any Illumina technology, we will be obligated to pay Illumina a 9% royalty, subject to certain reductions and floors, in perpetuity on net sales generated by our products or revenues otherwise generated or received by us, subject to certain exceptions, in the field of oncology. The royalty is subject to anti-stacking provisions that allow royalty payments we make to other third parties to be deducted from the 9% royalty rate, to a floor of 7%. We expect that the third party royalty payments we will make in the foreseeable future will result in a 7% royalty rate. After we have cumulatively paid Illumina royalties totaling $1 billion, the royalty rate will be reduced to 5%, without further adjustment. Pursuant to the fourth amendment to the Illumina Supply Agreement, the perpetual royalty payment obligation to Illumina is suspended until December 24, 2026 or any earlier change of control of GRAIL, at which time royalty payments to Illumina will resume, without retroactive effect. Any royalty payments that we would have made under the Illumina Supply Agreement during the suspension period are deemed to have been paid for purposes of the cumulative $1 billion in royalty payments required to reduce the royalty rate to 5%.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Certain factors could impact the nature and amount of these separate public company costs, including the finalization of our staffing and infrastructure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83845"/>
                <wp:effectExtent l="0" t="0" r="0" b="0"/>
                <wp:wrapNone/>
                <wp:docPr id="145" name="Frame13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Key Factors Affecting Performance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impact our operating performance and results of operations, including:</w:t>
      </w:r>
    </w:p>
    <w:p>
      <w:pPr>
        <w:pStyle w:val="TextBody"/>
        <w:bidi w:val="0"/>
        <w:spacing w:lineRule="auto" w:line="288" w:before="240" w:after="283"/>
        <w:ind w:left="0" w:right="0" w:hanging="360"/>
        <w:jc w:val="left"/>
        <w:rPr/>
      </w:pPr>
      <w:r>
        <w:rPr>
          <w:color w:val="000000"/>
        </w:rPr>
        <w:t>•</w:t>
      </w:r>
      <w:r>
        <w:rPr>
          <w:rFonts w:ascii="Arial;sans-serif" w:hAnsi="Arial;sans-serif"/>
          <w:b/>
          <w:i/>
          <w:color w:val="000000"/>
          <w:sz w:val="20"/>
        </w:rPr>
        <w:t>FDA and other regulatory approval and reimbursement</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Our performance will be impacted by the extent to which we can secure reimbursement and coverage for Galleri. Prior to broader coverage and reimbursement in the United States, we will continue our work with clinics and health systems to accelerate utilization, and with self-insured employers and health insurers to offer and cover Galleri. Galleri is currently available as a laboratory developed test (“LDT”) in the United States and we have established coverage and reimbursement from a number of self-insured employers and health plans, including coverage from TRICARE, but we do not currently have broader coverage and reimbursement by Medicare or large commercial insurers. While Galleri has not been approved or cleared by the FDA, FDA approval is currently not required to market our test in the United States. We are pursuing FDA approval to help support broad access for Galleri in the United States and we submitted a PMA for Galleri to the FDA in January 2026. Obtaining PMA approval can take several months or years from the time an application is submitted, if at all. Moreover, the regulatory requirements surrounding the pathway to PMA for laboratory tests has in the recent past, and may in the future, be subject to change. We believe that FDA approval, if obtained, could unlock coverage from large commercial payors in the United States. In February 2026, a new law created a coverage benefit category to enable coverage of FDA-approved MCED tests by Medicare, with authority for CMS to initiate coverage as early as January 1, 2029 for the aged 50-65 Medicare population and expanding one age-year at a time annually. If we obtain FDA approval, we expect to pursue coverage through this new law and, subsequently, inclusion of Galleri in the USPSTF’s guideline recommendation, although such inclusion may take years and is not certain even with FDA approval. Should USPSTF recommend Galleri with an A or B recommendation, CMS would then have the authority to expand coverage beyond what is covered under the MCED benefit category. We believe FDA approval and, to a greater extent, inclusion in USPSTF guideline recommendations would further increase adoption and market acceptance of our tests. Over time, we have and may continue to opt to provide rebates or discounts to certain customers, or reduce pricing in order to access a broader population base and accelerate adoption. In the United Kingdom, NHS England (which is being merged with the Department of Health and Social Care) (the “NHS”) will evaluate the final results from the NHS-Galleri Trial before determining whether to implement the Galleri test in the NHS. Under our agreement with the NHS, these results have met certain success criteria and missed others. As a result, we and NHS England will convene meetings of our joint steering committee to discuss how best to proceed with deployment to the UK population, if at all, considering deployment approaches and which population groups would most benefit. We believe the decision will include considerations such as NHS budget, political priorities, cost-effectiveness and implementation constraints in addition to an evaluation of the final results. We also believe our work with the NHS and the data generated from our NHS-Galleri Trial could help facilitate adoption in other single-payor systems around the world and support evidence of clinical utility worldwide. Although the primary endpoint of statistically significant combined stage 3 and 4 reduction was not observed in the NHS-Galleri Trial, we believe other results from the trial could be compelling to these systems.</w:t>
      </w:r>
    </w:p>
    <w:p>
      <w:pPr>
        <w:pStyle w:val="TextBody"/>
        <w:bidi w:val="0"/>
        <w:spacing w:lineRule="auto" w:line="288" w:before="240" w:after="283"/>
        <w:ind w:left="0" w:right="0" w:hanging="360"/>
        <w:jc w:val="left"/>
        <w:rPr/>
      </w:pPr>
      <w:r>
        <w:rPr>
          <w:color w:val="000000"/>
        </w:rPr>
        <w:t>•</w:t>
      </w:r>
      <w:r>
        <w:rPr>
          <w:rFonts w:ascii="Arial;sans-serif" w:hAnsi="Arial;sans-serif"/>
          <w:b/>
          <w:i/>
          <w:color w:val="000000"/>
          <w:sz w:val="20"/>
        </w:rPr>
        <w:t>International expansion</w:t>
      </w:r>
      <w:r>
        <w:rPr>
          <w:rFonts w:ascii="Arial;sans-serif" w:hAnsi="Arial;sans-serif"/>
          <w:b w:val="false"/>
          <w:color w:val="000000"/>
          <w:sz w:val="20"/>
        </w:rPr>
        <w:t>. A component of our long-term growth strategy is to expand our commercial reach internationally. We have expanded our research internationally into the United Kingdom through our partnership with NHS England in the NHS-Galleri Trial, and we expect to launch Galleri in the United Kingdom, following any positive NHS evaluation of the final results from the NHS-Galleri Trial. We continue to evaluate international expansion opportunities and we have begun expansion in select additional geographies through distributors, including Israel and Canada, and proposed expansion in South Korea through our partnership with Samsung. We expect to continue selectively engaging with international opportunities over time. Our ability to expand into new regions and jurisdictions, drive commercial sales and growth within those regions and jurisdictions and navigate economic, political, regulatory, and other risks, including geopolitical conflict, associated with international operations will be an important driver of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83845"/>
                <wp:effectExtent l="0" t="0" r="0" b="0"/>
                <wp:wrapNone/>
                <wp:docPr id="146" name="Frame13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68" w:before="240" w:after="283"/>
        <w:ind w:left="0" w:right="0" w:hanging="360"/>
        <w:jc w:val="left"/>
        <w:rPr/>
      </w:pPr>
      <w:r>
        <w:rPr>
          <w:color w:val="000000"/>
        </w:rPr>
        <w:t>•</w:t>
      </w:r>
      <w:r>
        <w:rPr>
          <w:rFonts w:ascii="Arial;sans-serif" w:hAnsi="Arial;sans-serif"/>
          <w:b/>
          <w:i/>
          <w:color w:val="000000"/>
          <w:sz w:val="20"/>
        </w:rPr>
        <w:t>Continued development of, and competition within, the market for MCED testing</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Multi-cancer early detection is a novel technology and the market for MCED tests is evolving. We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 Additionally, new MCED products from new market entrants launched commercially in the second half of 2025. We believe that the addition of new market entrants will help develop the market for MCED testing. However, these competitors will also be targeting similar markets as us and may compete with us for customers on characteristics of their tests, such as test performance, ease of use and cost. These companies may also present clinical or other information, such as test performance information, that differs from our own presentation of similar information. Our ability to differentiate Galleri from other MCED products and any such presented data will be a key factor in our success. We believe we are differentiated by our extensive and robust datasets generated from our clinical studies, our rigorous and objective approach to test development and research, our multidisciplinary capabilities leveraging the power of next-generation sequencing and advanced and trained machine learning algorithms and data science, our robust intellectual property portfolio, and our investment in our facilities and operational workflows. However, certain new market entrants may have greater financial resources, quicker reimbursement timelines, larger sales forces, more successful marketing campaigns, more experience in screening or international commercialization, lower prices or other advantages. Our ability to succeed will depend on our market success. See Item 1A. “Risk Factors”.</w:t>
      </w:r>
    </w:p>
    <w:p>
      <w:pPr>
        <w:pStyle w:val="TextBody"/>
        <w:bidi w:val="0"/>
        <w:spacing w:lineRule="auto" w:line="288" w:before="240" w:after="283"/>
        <w:ind w:left="0" w:right="0" w:hanging="360"/>
        <w:jc w:val="left"/>
        <w:rPr/>
      </w:pPr>
      <w:r>
        <w:rPr>
          <w:color w:val="000000"/>
        </w:rPr>
        <w:t>•</w:t>
      </w:r>
      <w:r>
        <w:rPr>
          <w:rFonts w:ascii="Arial;sans-serif" w:hAnsi="Arial;sans-serif"/>
          <w:b/>
          <w:i/>
          <w:color w:val="000000"/>
          <w:sz w:val="20"/>
        </w:rPr>
        <w:t>Demand for our products and customer mix</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A key factor to our future success is and will be our ability to increase demand for, and sales of, Galleri from new and existing customers. Our commercial strategy is focused on innovative value-oriented partnerships and targets primary care physicians, health systems, employers, digital health platforms, payors, and life insurance providers. As Galleri is not currently broadly reimbursed, our ability to drive demand from these customers is directly linked to our ability to demonstrate the clinical and economic value of our test through clinical validation and real-world experience. As of December 31, 2025, we have entered into commercial partnerships, including with leading healthcare systems, digital health platforms, employers, payors, and life insurance providers, and have established a network of over 17,000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w:t>
      </w:r>
      <w:r>
        <w:rPr>
          <w:rFonts w:ascii="Arial;sans-serif" w:hAnsi="Arial;sans-serif"/>
          <w:b w:val="false"/>
          <w:color w:val="231F20"/>
          <w:sz w:val="20"/>
        </w:rPr>
        <w:t>Galleri</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pricing</w:t>
      </w:r>
      <w:r>
        <w:rPr>
          <w:color w:val="231F20"/>
        </w:rPr>
        <w:t xml:space="preserve"> </w:t>
      </w:r>
      <w:r>
        <w:rPr>
          <w:rFonts w:ascii="Arial;sans-serif" w:hAnsi="Arial;sans-serif"/>
          <w:b w:val="false"/>
          <w:color w:val="000000"/>
          <w:sz w:val="20"/>
        </w:rPr>
        <w:t>is generally based on our list price, with discounts in certain channels, or, for certain customers, such as larger, higher-volume customers or international distributors, negotiated contractual rates. For certain customers, we also offer rebates. Revenue generated from customers with negotiated contractual rates, or with rebates or discounts, is generally lower margin as compared to revenue generated based on list pricing. We expect the number or magnitude of these rates, discounts and rebates to reduce our average selling price (“ASP”) over time.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Termination of these pilots or clinical trials can have a significant impact on our revenue and results of operations. For example, in late 2025, one of our pharmaceutical partners terminated its phase 3 trial due to low enrollment, for which our methylation technology was used as a potential companion diagnostic for enrolling participants. We also expect to increase demand from new customers through our efforts to further develop the market for MCED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83845"/>
                <wp:effectExtent l="0" t="0" r="0" b="0"/>
                <wp:wrapNone/>
                <wp:docPr id="147" name="Frame13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hanging="360"/>
        <w:jc w:val="left"/>
        <w:rPr/>
      </w:pPr>
      <w:r>
        <w:rPr>
          <w:color w:val="000000"/>
        </w:rPr>
        <w:t>•</w:t>
      </w:r>
      <w:r>
        <w:rPr>
          <w:rFonts w:ascii="Arial;sans-serif" w:hAnsi="Arial;sans-serif"/>
          <w:b/>
          <w:i/>
          <w:color w:val="000000"/>
          <w:sz w:val="20"/>
        </w:rPr>
        <w:t>Investment in clinical studies and innovation to support our strategy and growth</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 significant aspect of our business is our investment in research and development and the ongoing evidence generation supporting the clinical performance and utility of Galleri. In particular, we have invested heavily in clinical studies and designed and executed what we believe is the largest clinical program in genomic medicine to date. These studies include: NHS-Galleri, PATHFINDER, PATHFINDER 2, CCGA, REACH/Galleri-Medicare, REFLECTION, STRIVE, SUMMIT, and SYMPLIFY.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to continue investment in data generation. In addition, we have invested heavily in the development of our methylation platform and extensive technological infrastructure. We expect our research and development expenses to decrease over the next three years as, in conjunction with our portfolio review, we determined to decrease investment in product programs beyond Galleri. Additionally, we expect to see a relative decrease in research and development expenses as we complete key milestones, such as the progress of most of our large clinical trials into the data follow-up phase and substantial completion of development of enhanced versions of our Galleri test, including the version that we use in commercial channels and the updated version that was submitted with our PMA. We will continue to prioritize key objectives for Galleri, including generating and reporting clinical utility evidence to support broad adoption of Galleri and progressing our PMA towards potential approval.</w:t>
      </w:r>
    </w:p>
    <w:p>
      <w:pPr>
        <w:pStyle w:val="TextBody"/>
        <w:bidi w:val="0"/>
        <w:spacing w:lineRule="auto" w:line="288" w:before="240" w:after="283"/>
        <w:ind w:left="0" w:right="0" w:hanging="360"/>
        <w:jc w:val="left"/>
        <w:rPr/>
      </w:pPr>
      <w:r>
        <w:rPr>
          <w:color w:val="000000"/>
        </w:rPr>
        <w:t>•</w:t>
      </w:r>
      <w:r>
        <w:rPr>
          <w:rFonts w:ascii="Arial;sans-serif" w:hAnsi="Arial;sans-serif"/>
          <w:b/>
          <w:i/>
          <w:color w:val="000000"/>
          <w:sz w:val="20"/>
        </w:rPr>
        <w:t>Leverage our operational infrastructure</w:t>
      </w:r>
      <w:r>
        <w:rPr>
          <w:rFonts w:ascii="Arial;sans-serif" w:hAnsi="Arial;sans-serif"/>
          <w:b w:val="false"/>
          <w:color w:val="000000"/>
          <w:sz w:val="20"/>
        </w:rPr>
        <w:t>. We have made significant investments to build a scalable infrastructure capable of meeting significant demand of up to one million tests per year while satisfying applicable certification and licensing requirements and accreditation standards. Our Durham, North Carolina facility is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late 2024, we began using an updated version of Galleri in commercial channels. This version incorporates a highly-automated industrial scale platform and is intended to enable us to scale more efficiently with future demand. In connection with implementation of this new version of Galleri, we have experienced and may continue to experience increased turnaround times, re-processing costs and sample failures. We continually monitor and evaluate laboratory operations and performance in an effort to achieve our intended sample processing metrics and costs; however from time to time, processing issues may arise that could impact our operations. In the future, it is possible that we may invest significant amounts in infrastructure to support new products or existing products in new markets.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Seasonal fluctuations and underlying business trends have also affected, and are likely to continue to affect, our business. We may experience this seasonality, in particular in the third quarter due to primary care physician and patient summer vacation periods, with relatively lower volume in the first and third quarters, and relatively higher volume in the second and fourth quarters. These seasonal trends have caused, and will likely continue to cause, fluctuations in our quarterly results, including fluctuations in sequential revenue growth rates.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While each of these areas presents significant opportunities for us, they also pose significant risks and challenges that we must address. See </w:t>
      </w:r>
      <w:r>
        <w:rPr>
          <w:rFonts w:ascii="Arial;sans-serif" w:hAnsi="Arial;sans-serif"/>
          <w:b w:val="false"/>
          <w:color w:val="000000"/>
          <w:sz w:val="20"/>
        </w:rPr>
        <w:t xml:space="preserve">Item 1A. </w:t>
      </w:r>
      <w:r>
        <w:rPr>
          <w:color w:val="231F20"/>
        </w:rPr>
        <w:t>“</w:t>
      </w:r>
      <w:r>
        <w:rPr>
          <w:rFonts w:ascii="Arial;sans-serif" w:hAnsi="Arial;sans-serif"/>
          <w:b w:val="false"/>
          <w:color w:val="231F20"/>
          <w:sz w:val="20"/>
        </w:rPr>
        <w:t xml:space="preserve">Risk Factors”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83845"/>
                <wp:effectExtent l="0" t="0" r="0" b="0"/>
                <wp:wrapNone/>
                <wp:docPr id="148" name="Frame14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Components of Results of Operations</w:t>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Screening Revenue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currently derive screening revenue through the sale of Galleri primarily within the United States and primarily through primary care physicians, health systems, employers, digital health platforms, payors, and life insurance providers. Galleri is not currently broadly reimbursed. Galleri test pricing is generally based on our list price, with discounts in certain channels, or, for certain customers, such as larger, higher-volume customers or international distributors, negotiated contractual rates. For certain customers, we also offer rebates. We expect the number or magnitude of these rates, discounts and rebates to reduce our ASP over time.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 </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Development Services Revenue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filings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Cost of Screening Revenue (Exclusive of Amortization of Intangible Assets) and Cost of Development Services Revenue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Cost of revenue represents expenses that are incurred to produce and sell our products and services. For screening revenue, these costs consist of materials, labor including salaries and wages, bonus, benefits and stock-based compensation, blood collection kits and shipping, phlebotomy, royalties, electronic medical records, equipment depreciation, and allocations of overhead expenses such as facilities and information technology costs. For development services, these costs consist of materials and patient sample acquisition, labor including salaries and wages, bonus, benefits and stock-based compensation, royalties, equipment depreciation, and allocations of overhead expenses such as facilities and information technology costs. As demand for our products increases, we expect to further leverage the scale efficiencies of our infrastructure and platform technology, which we believe will positively impact margins over time. These margin improvements from scale efficiencies will at least be partially offset when we commence recognition of royalties owing under the terms of the Illumina Supply Agreement on December 24, 2026.</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Cost of Revenue—Amortization of Intangible Assets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our DAC product that is being designed to accelerate diagnostic resolution for patients for whom there is a clinical suspicion of cancer. As part of our Restructuring Plan, we have reduced investment in the development of products beyond Galleri, including DAC. The cost of identifiable intangible assets with finite lives, such as developed technology assets, are amortized on a straight-line basis over the assets’ respective estimated useful lives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83845"/>
                <wp:effectExtent l="0" t="0" r="0" b="0"/>
                <wp:wrapNone/>
                <wp:docPr id="149" name="Frame14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 xml:space="preserve">Research and Development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Nonrefundable advance payments for goods and services that will be used or rendered in future research and development activities are deferred and recognized as expenses in the period in which the related goods are delivered or services are performed. We expect our research and development expenses to decrease over the next three years as, in conjunction with our portfolio review, we determined to decrease investment in product programs beyond Galleri. Additionally, some of our large clinical studies and development of our automated platform have substantially concluded.</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Sales and Marketing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Sales and marketing expenses consist primarily of personnel costs, including salaries, benefits and stock- 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 also includes amortization of the trade 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increase following the release of positive study results as we invest in initiatives to drive awareness and demand generation of Galleri and to continue to decrease as a percentage of revenue over the next three years and long term.</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 xml:space="preserve">General and Administrative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G&amp;A expenses consist of personnel expenses, including salaries, benefits and stock-based compensation expenses, for executive, finance and accounting, legal, human resources, business development, corporate communications, portfolio management, medical affairs, and management information systems personnel. Also included are professional fees, legal costs, including patent and trademark-related expenses and educational activities. The related party amount in the prior year periods represents allocated stock administration expenses from Illumina. We have incurred and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expect our G&amp;A expenses to increase as we continue to invest in corporate infrastructure to support public company operations and the commercialization of Galleri and to continue to decrease as a percentage of revenue over the next three years and long term.</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Goodwill and Intangible Assets Impairments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reflected the goodwill recorded by Illumina upon the Acquisition.</w:t>
      </w:r>
    </w:p>
    <w:p>
      <w:pPr>
        <w:pStyle w:val="TextBody"/>
        <w:bidi w:val="0"/>
        <w:spacing w:lineRule="auto" w:line="288" w:before="240" w:after="283"/>
        <w:ind w:left="0" w:right="0" w:firstLine="450"/>
        <w:jc w:val="left"/>
        <w:rPr/>
      </w:pPr>
      <w:r>
        <w:rPr>
          <w:rFonts w:ascii="Arial;sans-serif" w:hAnsi="Arial;sans-serif"/>
          <w:b w:val="false"/>
          <w:color w:val="000000"/>
          <w:sz w:val="20"/>
        </w:rPr>
        <w:t>We evaluate goodwill and intangible assets for impairment annually or more frequently if an event occurs or circumstances change in the interim that would more likely than not reduce the fair value of the asset below its carrying amount.</w:t>
      </w:r>
      <w:r>
        <w:rPr>
          <w:color w:val="231F20"/>
        </w:rPr>
        <w:t xml:space="preserve"> </w:t>
      </w:r>
      <w:r>
        <w:rPr>
          <w:rFonts w:ascii="Arial;sans-serif" w:hAnsi="Arial;sans-serif"/>
          <w:b w:val="false"/>
          <w:color w:val="231F20"/>
          <w:sz w:val="20"/>
        </w:rPr>
        <w:t xml:space="preserve">Refer to </w:t>
      </w:r>
      <w:r>
        <w:rPr>
          <w:rFonts w:ascii="Arial;sans-serif" w:hAnsi="Arial;sans-serif"/>
          <w:b w:val="false"/>
          <w:i/>
          <w:color w:val="000000"/>
          <w:sz w:val="20"/>
        </w:rPr>
        <w:t>Note 2 — Summary Of Significant Accounting Policies</w:t>
      </w:r>
      <w:r>
        <w:rPr>
          <w:color w:val="231F20"/>
        </w:rPr>
        <w:t>—</w:t>
      </w:r>
      <w:r>
        <w:rPr>
          <w:rFonts w:ascii="Arial;sans-serif" w:hAnsi="Arial;sans-serif"/>
          <w:b w:val="false"/>
          <w:color w:val="231F20"/>
          <w:sz w:val="20"/>
        </w:rPr>
        <w:t>Goodwill and Intangible Assets</w:t>
      </w:r>
      <w:r>
        <w:rPr>
          <w:color w:val="000000"/>
        </w:rPr>
        <w:t xml:space="preserve"> </w:t>
      </w:r>
      <w:r>
        <w:rPr>
          <w:rFonts w:ascii="Arial;sans-serif" w:hAnsi="Arial;sans-serif"/>
          <w:b w:val="false"/>
          <w:color w:val="000000"/>
          <w:sz w:val="20"/>
        </w:rPr>
        <w:t>in Item 8 in this Annual Report on Form 10K for more information</w:t>
      </w:r>
      <w:r>
        <w:rPr>
          <w:rFonts w:ascii="Arial;sans-serif" w:hAnsi="Arial;sans-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83845"/>
                <wp:effectExtent l="0" t="0" r="0" b="0"/>
                <wp:wrapNone/>
                <wp:docPr id="150" name="Frame14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Interest Income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Interest income consists primarily of interest income earned on our cash, cash equivalents, and short-term marketable securities.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Other Income (Expense), Net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Other income (expense), net primarily consists of foreign currency gains and losses as a result of our intercompany agreements.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Benefit from Income Taxes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Income taxes are accounted for under the asset and liability method, which requires the recognition of deferred tax assets and liabilities for the future tax consequences of events that have been included in the consolidated financial statements. Deferred tax assets are recognized for deductible temporary differences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portions or all of the deferred tax assets will not be realized. Deferred tax assets and liabilities are adjusted for the effects of changes in tax laws and rates on the date of enactment.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83845"/>
                <wp:effectExtent l="0" t="0" r="0" b="0"/>
                <wp:wrapNone/>
                <wp:docPr id="151" name="Frame14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Results of Operations</w:t>
      </w:r>
    </w:p>
    <w:p>
      <w:pPr>
        <w:pStyle w:val="TextBody"/>
        <w:bidi w:val="0"/>
        <w:spacing w:lineRule="auto" w:line="288" w:before="120" w:after="283"/>
        <w:jc w:val="left"/>
        <w:rPr>
          <w:rFonts w:ascii="Arial;sans-serif" w:hAnsi="Arial;sans-serif"/>
          <w:b/>
          <w:i/>
          <w:color w:val="231F20"/>
          <w:sz w:val="20"/>
        </w:rPr>
      </w:pPr>
      <w:r>
        <w:rPr>
          <w:rFonts w:ascii="Arial;sans-serif" w:hAnsi="Arial;sans-serif"/>
          <w:b/>
          <w:i/>
          <w:color w:val="231F20"/>
          <w:sz w:val="20"/>
        </w:rPr>
        <w:t>Comparisons of 2025 to 2024</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following table summarizes our results of operations for </w:t>
      </w:r>
      <w:r>
        <w:rPr>
          <w:rFonts w:ascii="Arial;sans-serif" w:hAnsi="Arial;sans-serif"/>
          <w:b w:val="false"/>
          <w:color w:val="000000"/>
          <w:sz w:val="20"/>
        </w:rPr>
        <w:t>2025</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2024:</w:t>
      </w:r>
    </w:p>
    <w:tbl>
      <w:tblPr>
        <w:tblW w:w="10205" w:type="dxa"/>
        <w:jc w:val="left"/>
        <w:tblInd w:w="0" w:type="dxa"/>
        <w:tblLayout w:type="fixed"/>
        <w:tblCellMar>
          <w:top w:w="28" w:type="dxa"/>
          <w:left w:w="28" w:type="dxa"/>
          <w:bottom w:w="28" w:type="dxa"/>
          <w:right w:w="28" w:type="dxa"/>
        </w:tblCellMar>
      </w:tblPr>
      <w:tblGrid>
        <w:gridCol w:w="1543"/>
        <w:gridCol w:w="1203"/>
        <w:gridCol w:w="1180"/>
        <w:gridCol w:w="220"/>
        <w:gridCol w:w="903"/>
        <w:gridCol w:w="283"/>
        <w:gridCol w:w="109"/>
        <w:gridCol w:w="109"/>
        <w:gridCol w:w="109"/>
        <w:gridCol w:w="212"/>
        <w:gridCol w:w="1021"/>
        <w:gridCol w:w="273"/>
        <w:gridCol w:w="109"/>
        <w:gridCol w:w="109"/>
        <w:gridCol w:w="109"/>
        <w:gridCol w:w="211"/>
        <w:gridCol w:w="976"/>
        <w:gridCol w:w="271"/>
        <w:gridCol w:w="109"/>
        <w:gridCol w:w="109"/>
        <w:gridCol w:w="109"/>
        <w:gridCol w:w="293"/>
        <w:gridCol w:w="293"/>
        <w:gridCol w:w="342"/>
      </w:tblGrid>
      <w:tr>
        <w:trPr/>
        <w:tc>
          <w:tcPr>
            <w:tcW w:w="154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Change</w:t>
            </w:r>
          </w:p>
        </w:tc>
      </w:tr>
      <w:tr>
        <w:trPr/>
        <w:tc>
          <w:tcPr>
            <w:tcW w:w="3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39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138,601 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108,627 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8,571 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16,968 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(49</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revenue</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147,172 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125,595 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73,251 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63,284 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Cost of development services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(60</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15"/>
              <w:jc w:val="left"/>
              <w:rPr>
                <w:rFonts w:ascii="Arial;sans-serif" w:hAnsi="Arial;sans-serif"/>
                <w:b w:val="false"/>
                <w:color w:val="231F20"/>
                <w:sz w:val="18"/>
              </w:rPr>
            </w:pPr>
            <w:r>
              <w:rPr>
                <w:rFonts w:ascii="Arial;sans-serif" w:hAnsi="Arial;sans-serif"/>
                <w:b w:val="false"/>
                <w:color w:val="231F20"/>
                <w:sz w:val="18"/>
              </w:rPr>
              <w:t>Cost of revenue — amortization of intangible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133,889 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133,889 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Research and development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195,794 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322,380 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(126,586)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Sales and marketing</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116,693 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153,958 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(37,265)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15"/>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15"/>
              <w:jc w:val="left"/>
              <w:rPr>
                <w:rFonts w:ascii="Arial;sans-serif" w:hAnsi="Arial;sans-serif"/>
                <w:b w:val="false"/>
                <w:color w:val="231F20"/>
                <w:sz w:val="18"/>
              </w:rPr>
            </w:pPr>
            <w:r>
              <w:rPr>
                <w:rFonts w:ascii="Arial;sans-serif" w:hAnsi="Arial;sans-serif"/>
                <w:b w:val="false"/>
                <w:color w:val="231F20"/>
                <w:sz w:val="18"/>
              </w:rPr>
              <w:t>General and administrative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159,103 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213,862 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(54,759)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15"/>
              <w:jc w:val="left"/>
              <w:rPr>
                <w:rFonts w:ascii="Arial;sans-serif" w:hAnsi="Arial;sans-serif"/>
                <w:b w:val="false"/>
                <w:color w:val="231F20"/>
                <w:sz w:val="18"/>
              </w:rPr>
            </w:pPr>
            <w:r>
              <w:rPr>
                <w:rFonts w:ascii="Arial;sans-serif" w:hAnsi="Arial;sans-serif"/>
                <w:b w:val="false"/>
                <w:color w:val="231F20"/>
                <w:sz w:val="18"/>
              </w:rPr>
              <w:t>Goodwill and intangible assets impairment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1,420,936 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(1,392,936)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(98</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709,335 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2,314,753 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(1,605,418)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15"/>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15"/>
              <w:jc w:val="left"/>
              <w:rPr>
                <w:rFonts w:ascii="Arial;sans-serif" w:hAnsi="Arial;sans-serif"/>
                <w:b/>
                <w:color w:val="231F20"/>
                <w:sz w:val="18"/>
              </w:rPr>
            </w:pPr>
            <w:r>
              <w:rPr>
                <w:rFonts w:ascii="Arial;sans-serif" w:hAnsi="Arial;sans-serif"/>
                <w:b/>
                <w:color w:val="231F20"/>
                <w:sz w:val="18"/>
              </w:rPr>
              <w:t>Loss from operations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(562,163)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(2,189,158)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1,626,995 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74</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income:</w:t>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28,652 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26,733 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(993)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(1652</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other income, net</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27,659 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26,797 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before income taxes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(534,504)</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(2,162,361)</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1,627,857 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75</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126,153 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135,356 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(9,203)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(408,351)</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(2,027,005)</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1,618,654 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3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231F20"/>
                <w:sz w:val="18"/>
              </w:rPr>
            </w:pPr>
            <w:r>
              <w:rPr>
                <w:rFonts w:ascii="Arial;sans-serif" w:hAnsi="Arial;sans-serif"/>
                <w:b w:val="false"/>
                <w:i/>
                <w:color w:val="231F20"/>
                <w:sz w:val="18"/>
              </w:rPr>
              <w:t>Cost of screening revenue (exclusive of amortization of intangible assets) as a percentage of screening revenue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53 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58 </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i/>
          <w:color w:val="231F20"/>
          <w:sz w:val="20"/>
        </w:rPr>
      </w:pPr>
      <w:r>
        <w:rPr>
          <w:rFonts w:ascii="Arial;sans-serif" w:hAnsi="Arial;sans-serif"/>
          <w:b w:val="false"/>
          <w:i/>
          <w:color w:val="231F20"/>
          <w:sz w:val="20"/>
        </w:rPr>
        <w:t>Revenue</w:t>
      </w:r>
    </w:p>
    <w:tbl>
      <w:tblPr>
        <w:tblW w:w="7768" w:type="dxa"/>
        <w:jc w:val="left"/>
        <w:tblInd w:w="0" w:type="dxa"/>
        <w:tblLayout w:type="fixed"/>
        <w:tblCellMar>
          <w:top w:w="28" w:type="dxa"/>
          <w:left w:w="28" w:type="dxa"/>
          <w:bottom w:w="28" w:type="dxa"/>
          <w:right w:w="28" w:type="dxa"/>
        </w:tblCellMar>
      </w:tblPr>
      <w:tblGrid>
        <w:gridCol w:w="962"/>
        <w:gridCol w:w="844"/>
        <w:gridCol w:w="848"/>
        <w:gridCol w:w="215"/>
        <w:gridCol w:w="844"/>
        <w:gridCol w:w="111"/>
        <w:gridCol w:w="109"/>
        <w:gridCol w:w="109"/>
        <w:gridCol w:w="109"/>
        <w:gridCol w:w="215"/>
        <w:gridCol w:w="844"/>
        <w:gridCol w:w="111"/>
        <w:gridCol w:w="109"/>
        <w:gridCol w:w="109"/>
        <w:gridCol w:w="109"/>
        <w:gridCol w:w="211"/>
        <w:gridCol w:w="721"/>
        <w:gridCol w:w="109"/>
        <w:gridCol w:w="109"/>
        <w:gridCol w:w="109"/>
        <w:gridCol w:w="109"/>
        <w:gridCol w:w="188"/>
        <w:gridCol w:w="188"/>
        <w:gridCol w:w="376"/>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Screening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138,601 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108,627 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Development services revenue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revenue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147,172 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125,595 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120" w:after="283"/>
        <w:jc w:val="left"/>
        <w:rPr>
          <w:rFonts w:ascii="Arial;sans-serif" w:hAnsi="Arial;sans-serif"/>
          <w:b w:val="false"/>
          <w:i/>
          <w:color w:val="231F20"/>
          <w:sz w:val="20"/>
        </w:rPr>
      </w:pPr>
      <w:r>
        <w:rPr>
          <w:rFonts w:ascii="Arial;sans-serif" w:hAnsi="Arial;sans-serif"/>
          <w:b w:val="false"/>
          <w:i/>
          <w:color w:val="231F20"/>
          <w:sz w:val="20"/>
        </w:rPr>
        <w:t xml:space="preserve">Screening Revenue </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increase</w:t>
      </w:r>
      <w:r>
        <w:rPr>
          <w:color w:val="231F20"/>
        </w:rPr>
        <w:t xml:space="preserve"> </w:t>
      </w:r>
      <w:r>
        <w:rPr>
          <w:rFonts w:ascii="Arial;sans-serif" w:hAnsi="Arial;sans-serif"/>
          <w:b w:val="false"/>
          <w:color w:val="231F20"/>
          <w:sz w:val="20"/>
        </w:rPr>
        <w:t xml:space="preserve">in screening revenue of </w:t>
      </w:r>
      <w:r>
        <w:rPr>
          <w:rFonts w:ascii="Arial;sans-serif" w:hAnsi="Arial;sans-serif"/>
          <w:b w:val="false"/>
          <w:color w:val="000000"/>
          <w:sz w:val="20"/>
        </w:rPr>
        <w:t>$30.0 million</w:t>
      </w:r>
      <w:r>
        <w:rPr>
          <w:color w:val="231F20"/>
        </w:rPr>
        <w:t xml:space="preserve"> </w:t>
      </w:r>
      <w:r>
        <w:rPr>
          <w:rFonts w:ascii="Arial;sans-serif" w:hAnsi="Arial;sans-serif"/>
          <w:b w:val="false"/>
          <w:color w:val="231F20"/>
          <w:sz w:val="20"/>
        </w:rPr>
        <w:t xml:space="preserve">or </w:t>
      </w:r>
      <w:r>
        <w:rPr>
          <w:rFonts w:ascii="Arial;sans-serif" w:hAnsi="Arial;sans-serif"/>
          <w:b w:val="false"/>
          <w:color w:val="000000"/>
          <w:sz w:val="20"/>
        </w:rPr>
        <w:t xml:space="preserve">28% </w:t>
      </w:r>
      <w:r>
        <w:rPr>
          <w:rFonts w:ascii="Arial;sans-serif" w:hAnsi="Arial;sans-serif"/>
          <w:b w:val="false"/>
          <w:color w:val="231F20"/>
          <w:sz w:val="20"/>
        </w:rPr>
        <w:t xml:space="preserve">was </w:t>
      </w:r>
      <w:r>
        <w:rPr>
          <w:rFonts w:ascii="Arial;sans-serif" w:hAnsi="Arial;sans-serif"/>
          <w:b w:val="false"/>
          <w:color w:val="000000"/>
          <w:sz w:val="20"/>
        </w:rPr>
        <w:t>primarily driven by</w:t>
      </w:r>
      <w:r>
        <w:rPr>
          <w:color w:val="231F20"/>
        </w:rPr>
        <w:t xml:space="preserve"> </w:t>
      </w:r>
      <w:r>
        <w:rPr>
          <w:rFonts w:ascii="Arial;sans-serif" w:hAnsi="Arial;sans-serif"/>
          <w:b w:val="false"/>
          <w:color w:val="000000"/>
          <w:sz w:val="20"/>
        </w:rPr>
        <w:t xml:space="preserve">a 36% increase in Galleri sales volume, partially offset by a 6% decrease in ASP. Galleri sales volume increased in 2025 as a result of the continued ramp in our commercial activity following the release of positive study results, implementation of new pricing strategies, enhanced ordering pathways via new integrations, expansion of our partnerships with digital health platforms, and increased enrollment in our REACH/Galleri-Medicare clinical study.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83845"/>
                <wp:effectExtent l="0" t="0" r="0" b="0"/>
                <wp:wrapNone/>
                <wp:docPr id="152" name="Frame14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139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Development Services Revenue</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decrease</w:t>
      </w:r>
      <w:r>
        <w:rPr>
          <w:color w:val="231F20"/>
        </w:rPr>
        <w:t xml:space="preserve"> </w:t>
      </w:r>
      <w:r>
        <w:rPr>
          <w:rFonts w:ascii="Arial;sans-serif" w:hAnsi="Arial;sans-serif"/>
          <w:b w:val="false"/>
          <w:color w:val="231F20"/>
          <w:sz w:val="20"/>
        </w:rPr>
        <w:t xml:space="preserve">in development services revenue of </w:t>
      </w:r>
      <w:r>
        <w:rPr>
          <w:rFonts w:ascii="Arial;sans-serif" w:hAnsi="Arial;sans-serif"/>
          <w:b w:val="false"/>
          <w:color w:val="000000"/>
          <w:sz w:val="20"/>
        </w:rPr>
        <w:t>$8.4 million</w:t>
      </w:r>
      <w:r>
        <w:rPr>
          <w:color w:val="231F20"/>
        </w:rPr>
        <w:t xml:space="preserve"> </w:t>
      </w:r>
      <w:r>
        <w:rPr>
          <w:rFonts w:ascii="Arial;sans-serif" w:hAnsi="Arial;sans-serif"/>
          <w:b w:val="false"/>
          <w:color w:val="231F20"/>
          <w:sz w:val="20"/>
        </w:rPr>
        <w:t xml:space="preserve">or </w:t>
      </w:r>
      <w:r>
        <w:rPr>
          <w:rFonts w:ascii="Arial;sans-serif" w:hAnsi="Arial;sans-serif"/>
          <w:b w:val="false"/>
          <w:color w:val="000000"/>
          <w:sz w:val="20"/>
        </w:rPr>
        <w:t xml:space="preserve">49% </w:t>
      </w:r>
      <w:r>
        <w:rPr>
          <w:rFonts w:ascii="Arial;sans-serif" w:hAnsi="Arial;sans-serif"/>
          <w:b w:val="false"/>
          <w:color w:val="231F20"/>
          <w:sz w:val="20"/>
        </w:rPr>
        <w:t xml:space="preserve">was primarily driven by a $7.0 million </w:t>
      </w:r>
      <w:r>
        <w:rPr>
          <w:rFonts w:ascii="Arial;sans-serif" w:hAnsi="Arial;sans-serif"/>
          <w:b w:val="false"/>
          <w:color w:val="000000"/>
          <w:sz w:val="20"/>
        </w:rPr>
        <w:t>decrease in revenue from pilots with biopharmaceutical partners and a $1.4 million decrease in revenue from research services and other services revenue.</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 xml:space="preserve">Cost of Screening Revenue (Exclusive of Amortization of Intangible Assets) </w:t>
      </w:r>
    </w:p>
    <w:tbl>
      <w:tblPr>
        <w:tblW w:w="10205" w:type="dxa"/>
        <w:jc w:val="left"/>
        <w:tblInd w:w="0" w:type="dxa"/>
        <w:tblLayout w:type="fixed"/>
        <w:tblCellMar>
          <w:top w:w="28" w:type="dxa"/>
          <w:left w:w="28" w:type="dxa"/>
          <w:bottom w:w="28" w:type="dxa"/>
          <w:right w:w="28" w:type="dxa"/>
        </w:tblCellMar>
      </w:tblPr>
      <w:tblGrid>
        <w:gridCol w:w="1942"/>
        <w:gridCol w:w="1704"/>
        <w:gridCol w:w="1706"/>
        <w:gridCol w:w="233"/>
        <w:gridCol w:w="798"/>
        <w:gridCol w:w="120"/>
        <w:gridCol w:w="109"/>
        <w:gridCol w:w="109"/>
        <w:gridCol w:w="109"/>
        <w:gridCol w:w="233"/>
        <w:gridCol w:w="798"/>
        <w:gridCol w:w="120"/>
        <w:gridCol w:w="109"/>
        <w:gridCol w:w="109"/>
        <w:gridCol w:w="109"/>
        <w:gridCol w:w="211"/>
        <w:gridCol w:w="616"/>
        <w:gridCol w:w="109"/>
        <w:gridCol w:w="109"/>
        <w:gridCol w:w="109"/>
        <w:gridCol w:w="109"/>
        <w:gridCol w:w="158"/>
        <w:gridCol w:w="158"/>
        <w:gridCol w:w="318"/>
      </w:tblGrid>
      <w:tr>
        <w:trPr/>
        <w:tc>
          <w:tcPr>
            <w:tcW w:w="194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5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screening revenue (exclusive of amortization of intangible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63,284 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increase</w:t>
      </w:r>
      <w:r>
        <w:rPr>
          <w:color w:val="231F20"/>
        </w:rPr>
        <w:t xml:space="preserve"> </w:t>
      </w:r>
      <w:r>
        <w:rPr>
          <w:rFonts w:ascii="Arial;sans-serif" w:hAnsi="Arial;sans-serif"/>
          <w:b w:val="false"/>
          <w:color w:val="231F20"/>
          <w:sz w:val="20"/>
        </w:rPr>
        <w:t xml:space="preserve">in cost of screening revenue (exclusive of amortization of intangible assets) of </w:t>
      </w:r>
      <w:r>
        <w:rPr>
          <w:rFonts w:ascii="Arial;sans-serif" w:hAnsi="Arial;sans-serif"/>
          <w:b w:val="false"/>
          <w:color w:val="000000"/>
          <w:sz w:val="20"/>
        </w:rPr>
        <w:t xml:space="preserve">$10.0 million or 16% </w:t>
      </w:r>
      <w:r>
        <w:rPr>
          <w:rFonts w:ascii="Arial;sans-serif" w:hAnsi="Arial;sans-serif"/>
          <w:b w:val="false"/>
          <w:color w:val="231F20"/>
          <w:sz w:val="20"/>
        </w:rPr>
        <w:t xml:space="preserve">was </w:t>
      </w:r>
      <w:r>
        <w:rPr>
          <w:rFonts w:ascii="Arial;sans-serif" w:hAnsi="Arial;sans-serif"/>
          <w:b w:val="false"/>
          <w:color w:val="000000"/>
          <w:sz w:val="20"/>
        </w:rPr>
        <w:t>primarily driven by</w:t>
      </w:r>
      <w:r>
        <w:rPr>
          <w:color w:val="231F20"/>
        </w:rPr>
        <w:t xml:space="preserve"> </w:t>
      </w:r>
      <w:r>
        <w:rPr>
          <w:rFonts w:ascii="Arial;sans-serif" w:hAnsi="Arial;sans-serif"/>
          <w:b w:val="false"/>
          <w:color w:val="231F20"/>
          <w:sz w:val="20"/>
        </w:rPr>
        <w:t xml:space="preserve">a 36% increase in Galleri sales volume, partially offset by a reduction in variable costs of Galleri testing performed on our automated platform. </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Cost of screening revenue (exclusive of amortization of intangible assets) as a percent of revenue decreased in 2025 </w:t>
      </w:r>
      <w:r>
        <w:rPr>
          <w:rFonts w:ascii="Arial;sans-serif" w:hAnsi="Arial;sans-serif"/>
          <w:b w:val="false"/>
          <w:color w:val="000000"/>
          <w:sz w:val="20"/>
        </w:rPr>
        <w:t>mainly due to the reduction in variable costs of Galleri testing performed on our automated platform, partially offset by a 6% decrease in ASP and higher sample reprocessing costs.</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 xml:space="preserve">Cost of Development Services Revenue </w:t>
      </w:r>
    </w:p>
    <w:tbl>
      <w:tblPr>
        <w:tblW w:w="8322" w:type="dxa"/>
        <w:jc w:val="left"/>
        <w:tblInd w:w="0" w:type="dxa"/>
        <w:tblLayout w:type="fixed"/>
        <w:tblCellMar>
          <w:top w:w="28" w:type="dxa"/>
          <w:left w:w="28" w:type="dxa"/>
          <w:bottom w:w="28" w:type="dxa"/>
          <w:right w:w="28" w:type="dxa"/>
        </w:tblCellMar>
      </w:tblPr>
      <w:tblGrid>
        <w:gridCol w:w="1172"/>
        <w:gridCol w:w="1030"/>
        <w:gridCol w:w="1038"/>
        <w:gridCol w:w="263"/>
        <w:gridCol w:w="770"/>
        <w:gridCol w:w="136"/>
        <w:gridCol w:w="109"/>
        <w:gridCol w:w="109"/>
        <w:gridCol w:w="109"/>
        <w:gridCol w:w="263"/>
        <w:gridCol w:w="770"/>
        <w:gridCol w:w="136"/>
        <w:gridCol w:w="109"/>
        <w:gridCol w:w="109"/>
        <w:gridCol w:w="109"/>
        <w:gridCol w:w="211"/>
        <w:gridCol w:w="691"/>
        <w:gridCol w:w="109"/>
        <w:gridCol w:w="109"/>
        <w:gridCol w:w="109"/>
        <w:gridCol w:w="109"/>
        <w:gridCol w:w="188"/>
        <w:gridCol w:w="188"/>
        <w:gridCol w:w="376"/>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development services 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decrease</w:t>
      </w:r>
      <w:r>
        <w:rPr>
          <w:color w:val="231F20"/>
        </w:rPr>
        <w:t xml:space="preserve"> </w:t>
      </w:r>
      <w:r>
        <w:rPr>
          <w:rFonts w:ascii="Arial;sans-serif" w:hAnsi="Arial;sans-serif"/>
          <w:b w:val="false"/>
          <w:color w:val="231F20"/>
          <w:sz w:val="20"/>
        </w:rPr>
        <w:t xml:space="preserve">in cost of development services revenue of </w:t>
      </w:r>
      <w:r>
        <w:rPr>
          <w:rFonts w:ascii="Arial;sans-serif" w:hAnsi="Arial;sans-serif"/>
          <w:b w:val="false"/>
          <w:color w:val="000000"/>
          <w:sz w:val="20"/>
        </w:rPr>
        <w:t xml:space="preserve">$3.8 million or 60% </w:t>
      </w:r>
      <w:r>
        <w:rPr>
          <w:rFonts w:ascii="Arial;sans-serif" w:hAnsi="Arial;sans-serif"/>
          <w:b w:val="false"/>
          <w:color w:val="231F20"/>
          <w:sz w:val="20"/>
        </w:rPr>
        <w:t xml:space="preserve">was </w:t>
      </w:r>
      <w:r>
        <w:rPr>
          <w:rFonts w:ascii="Arial;sans-serif" w:hAnsi="Arial;sans-serif"/>
          <w:b w:val="false"/>
          <w:color w:val="000000"/>
          <w:sz w:val="20"/>
        </w:rPr>
        <w:t xml:space="preserve">primarily due to a decrease in pilots with biopharmaceutical partners and a decrease in the number of research samples processed. </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 xml:space="preserve">Research and Development </w:t>
      </w:r>
    </w:p>
    <w:p>
      <w:pPr>
        <w:pStyle w:val="TextBody"/>
        <w:bidi w:val="0"/>
        <w:spacing w:lineRule="auto" w:line="288" w:before="120" w:after="240"/>
        <w:ind w:left="0" w:right="0" w:firstLine="450"/>
        <w:jc w:val="left"/>
        <w:rPr/>
      </w:pPr>
      <w:r>
        <w:rPr>
          <w:rFonts w:ascii="Arial;sans-serif" w:hAnsi="Arial;sans-serif"/>
          <w:b w:val="false"/>
          <w:color w:val="231F20"/>
          <w:sz w:val="20"/>
        </w:rPr>
        <w:t xml:space="preserve">Research and development expenses for </w:t>
      </w:r>
      <w:r>
        <w:rPr>
          <w:rFonts w:ascii="Arial;sans-serif" w:hAnsi="Arial;sans-serif"/>
          <w:b w:val="false"/>
          <w:color w:val="000000"/>
          <w:sz w:val="20"/>
        </w:rPr>
        <w:t>2025</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2024</w:t>
      </w:r>
      <w:r>
        <w:rPr>
          <w:color w:val="231F20"/>
        </w:rPr>
        <w:t xml:space="preserve"> </w:t>
      </w:r>
      <w:r>
        <w:rPr>
          <w:rFonts w:ascii="Arial;sans-serif" w:hAnsi="Arial;sans-serif"/>
          <w:b w:val="false"/>
          <w:color w:val="231F20"/>
          <w:sz w:val="20"/>
        </w:rPr>
        <w:t>were as follows:</w:t>
      </w:r>
    </w:p>
    <w:tbl>
      <w:tblPr>
        <w:tblW w:w="9358" w:type="dxa"/>
        <w:jc w:val="left"/>
        <w:tblInd w:w="0" w:type="dxa"/>
        <w:tblLayout w:type="fixed"/>
        <w:tblCellMar>
          <w:top w:w="28" w:type="dxa"/>
          <w:left w:w="28" w:type="dxa"/>
          <w:bottom w:w="28" w:type="dxa"/>
          <w:right w:w="28" w:type="dxa"/>
        </w:tblCellMar>
      </w:tblPr>
      <w:tblGrid>
        <w:gridCol w:w="1470"/>
        <w:gridCol w:w="1293"/>
        <w:gridCol w:w="1301"/>
        <w:gridCol w:w="215"/>
        <w:gridCol w:w="844"/>
        <w:gridCol w:w="111"/>
        <w:gridCol w:w="109"/>
        <w:gridCol w:w="109"/>
        <w:gridCol w:w="109"/>
        <w:gridCol w:w="215"/>
        <w:gridCol w:w="844"/>
        <w:gridCol w:w="111"/>
        <w:gridCol w:w="109"/>
        <w:gridCol w:w="109"/>
        <w:gridCol w:w="109"/>
        <w:gridCol w:w="211"/>
        <w:gridCol w:w="901"/>
        <w:gridCol w:w="109"/>
        <w:gridCol w:w="109"/>
        <w:gridCol w:w="109"/>
        <w:gridCol w:w="109"/>
        <w:gridCol w:w="188"/>
        <w:gridCol w:w="188"/>
        <w:gridCol w:w="376"/>
      </w:tblGrid>
      <w:tr>
        <w:trPr/>
        <w:tc>
          <w:tcPr>
            <w:tcW w:w="147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expenses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102,580 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162,914 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Laboratory supplies and research collaborations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Clinical studies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Allocated Expenses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expenses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30"/>
              <w:jc w:val="lef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research and development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195,794 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322,380 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decrease</w:t>
      </w:r>
      <w:r>
        <w:rPr>
          <w:color w:val="231F20"/>
        </w:rPr>
        <w:t xml:space="preserve"> </w:t>
      </w:r>
      <w:r>
        <w:rPr>
          <w:rFonts w:ascii="Arial;sans-serif" w:hAnsi="Arial;sans-serif"/>
          <w:b w:val="false"/>
          <w:color w:val="231F20"/>
          <w:sz w:val="20"/>
        </w:rPr>
        <w:t xml:space="preserve">in the </w:t>
      </w:r>
      <w:r>
        <w:rPr>
          <w:rFonts w:ascii="Arial;sans-serif" w:hAnsi="Arial;sans-serif"/>
          <w:b w:val="false"/>
          <w:color w:val="000000"/>
          <w:sz w:val="20"/>
        </w:rPr>
        <w:t>research and development</w:t>
      </w:r>
      <w:r>
        <w:rPr>
          <w:color w:val="231F20"/>
        </w:rPr>
        <w:t xml:space="preserve"> </w:t>
      </w:r>
      <w:r>
        <w:rPr>
          <w:rFonts w:ascii="Arial;sans-serif" w:hAnsi="Arial;sans-serif"/>
          <w:b w:val="false"/>
          <w:color w:val="231F20"/>
          <w:sz w:val="20"/>
        </w:rPr>
        <w:t xml:space="preserve">expenses of </w:t>
      </w:r>
      <w:r>
        <w:rPr>
          <w:rFonts w:ascii="Arial;sans-serif" w:hAnsi="Arial;sans-serif"/>
          <w:b w:val="false"/>
          <w:color w:val="000000"/>
          <w:sz w:val="20"/>
        </w:rPr>
        <w:t>$126.6 million</w:t>
      </w:r>
      <w:r>
        <w:rPr>
          <w:color w:val="231F20"/>
        </w:rPr>
        <w:t xml:space="preserve"> </w:t>
      </w:r>
      <w:r>
        <w:rPr>
          <w:rFonts w:ascii="Arial;sans-serif" w:hAnsi="Arial;sans-serif"/>
          <w:b w:val="false"/>
          <w:color w:val="231F20"/>
          <w:sz w:val="20"/>
        </w:rPr>
        <w:t xml:space="preserve">or </w:t>
      </w:r>
      <w:r>
        <w:rPr>
          <w:rFonts w:ascii="Arial;sans-serif" w:hAnsi="Arial;sans-serif"/>
          <w:b w:val="false"/>
          <w:color w:val="000000"/>
          <w:sz w:val="20"/>
        </w:rPr>
        <w:t xml:space="preserve">39% </w:t>
      </w:r>
      <w:r>
        <w:rPr>
          <w:rFonts w:ascii="Arial;sans-serif" w:hAnsi="Arial;sans-serif"/>
          <w:b w:val="false"/>
          <w:color w:val="231F20"/>
          <w:sz w:val="20"/>
        </w:rPr>
        <w:t xml:space="preserve">was </w:t>
      </w:r>
      <w:r>
        <w:rPr>
          <w:rFonts w:ascii="Arial;sans-serif" w:hAnsi="Arial;sans-serif"/>
          <w:b w:val="false"/>
          <w:color w:val="000000"/>
          <w:sz w:val="20"/>
        </w:rPr>
        <w:t xml:space="preserve">primarily attributable to: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decrease in compensation expenses of $60.3 million primarily due to a $37.4 million decrease in salaries and wages, a $14.7 million decrease in stock-based compensation expense and a $7.7 million decrease in severance and benefits, primarily due to the workforce reductions related to the Restructuring Plan implemented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83845"/>
                <wp:effectExtent l="0" t="0" r="0" b="0"/>
                <wp:wrapNone/>
                <wp:docPr id="153" name="Frame14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decrease in laboratory supplies and research collaborations of $28.5 million primarily driven by the substantial completion of the development and validation of our automated platform, the completion of enrollment in the PATHFINDER 2 study and the completion of final study visits in the NHS-Galleri Trial in 2024.</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decrease in clinical studies of $15.9 million primarily due to a $20.3 million decrease in PATHFINDER 2 study and NHS-Galleri trial expenses, partially offset by a $6.2 million increase due to increased enrollment in the REACH/Galleri-Medicare study.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decrease in allocated expenses of $11.2 million primarily related to ongoing cost reduction efforts, which resulted in lower software, IT, and facilities expenses being allocated to the research and development function, as well as reduced headcount.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decrease in other expenses of $8.7 million primarily due to a $3.9 million decrease in contractors and temporary labor, a $1.8 million decrease in professional services, and a $1.8 million decrease in cloud computing expenses due to cost optimization efforts. </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Sales and Marketing</w:t>
      </w:r>
    </w:p>
    <w:tbl>
      <w:tblPr>
        <w:tblW w:w="6988" w:type="dxa"/>
        <w:jc w:val="left"/>
        <w:tblInd w:w="0" w:type="dxa"/>
        <w:tblLayout w:type="fixed"/>
        <w:tblCellMar>
          <w:top w:w="28" w:type="dxa"/>
          <w:left w:w="28" w:type="dxa"/>
          <w:bottom w:w="28" w:type="dxa"/>
          <w:right w:w="28" w:type="dxa"/>
        </w:tblCellMar>
      </w:tblPr>
      <w:tblGrid>
        <w:gridCol w:w="652"/>
        <w:gridCol w:w="572"/>
        <w:gridCol w:w="575"/>
        <w:gridCol w:w="215"/>
        <w:gridCol w:w="844"/>
        <w:gridCol w:w="111"/>
        <w:gridCol w:w="109"/>
        <w:gridCol w:w="109"/>
        <w:gridCol w:w="109"/>
        <w:gridCol w:w="215"/>
        <w:gridCol w:w="844"/>
        <w:gridCol w:w="111"/>
        <w:gridCol w:w="109"/>
        <w:gridCol w:w="109"/>
        <w:gridCol w:w="109"/>
        <w:gridCol w:w="211"/>
        <w:gridCol w:w="796"/>
        <w:gridCol w:w="109"/>
        <w:gridCol w:w="109"/>
        <w:gridCol w:w="109"/>
        <w:gridCol w:w="109"/>
        <w:gridCol w:w="188"/>
        <w:gridCol w:w="188"/>
        <w:gridCol w:w="37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116,693 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153,958 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 xml:space="preserve">decrease </w:t>
      </w:r>
      <w:r>
        <w:rPr>
          <w:rFonts w:ascii="Arial;sans-serif" w:hAnsi="Arial;sans-serif"/>
          <w:b w:val="false"/>
          <w:color w:val="231F20"/>
          <w:sz w:val="20"/>
        </w:rPr>
        <w:t xml:space="preserve">in sales and marketing expenses of </w:t>
      </w:r>
      <w:r>
        <w:rPr>
          <w:rFonts w:ascii="Arial;sans-serif" w:hAnsi="Arial;sans-serif"/>
          <w:b w:val="false"/>
          <w:color w:val="000000"/>
          <w:sz w:val="20"/>
        </w:rPr>
        <w:t>$37.3 million or 24%</w:t>
      </w:r>
      <w:r>
        <w:rPr>
          <w:color w:val="231F20"/>
        </w:rPr>
        <w:t xml:space="preserve"> </w:t>
      </w:r>
      <w:r>
        <w:rPr>
          <w:rFonts w:ascii="Arial;sans-serif" w:hAnsi="Arial;sans-serif"/>
          <w:b w:val="false"/>
          <w:color w:val="231F20"/>
          <w:sz w:val="20"/>
        </w:rPr>
        <w:t xml:space="preserve">was primarily attributable to a decrease in compensation expenses of $26.1 million, primarily due to a $17.4 million decrease in salaries and wages, a $4.8 million decrease in severance and benefits, and a $4.4 million decrease in stock-based compensation expense, primarily </w:t>
      </w:r>
      <w:r>
        <w:rPr>
          <w:rFonts w:ascii="Arial;sans-serif" w:hAnsi="Arial;sans-serif"/>
          <w:b w:val="false"/>
          <w:color w:val="000000"/>
          <w:sz w:val="20"/>
        </w:rPr>
        <w:t>due to workforce reductions related to the Restructuring Plan implemented in 2024. P</w:t>
      </w:r>
      <w:r>
        <w:rPr>
          <w:rFonts w:ascii="Arial;sans-serif" w:hAnsi="Arial;sans-serif"/>
          <w:b w:val="false"/>
          <w:color w:val="231F20"/>
          <w:sz w:val="20"/>
        </w:rPr>
        <w:t>rofessional services and marketing expenses decreased by $9.6 million due to cost optimization efforts. Other expenses decreased by $1.6 million mainly driven by decreases in the use of contractors and temporary labor as well as reductions in allocated expenses due to cost optimization efforts.</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General and Administrative</w:t>
      </w:r>
    </w:p>
    <w:tbl>
      <w:tblPr>
        <w:tblW w:w="7514" w:type="dxa"/>
        <w:jc w:val="left"/>
        <w:tblInd w:w="0" w:type="dxa"/>
        <w:tblLayout w:type="fixed"/>
        <w:tblCellMar>
          <w:top w:w="28" w:type="dxa"/>
          <w:left w:w="28" w:type="dxa"/>
          <w:bottom w:w="28" w:type="dxa"/>
          <w:right w:w="28" w:type="dxa"/>
        </w:tblCellMar>
      </w:tblPr>
      <w:tblGrid>
        <w:gridCol w:w="841"/>
        <w:gridCol w:w="739"/>
        <w:gridCol w:w="745"/>
        <w:gridCol w:w="215"/>
        <w:gridCol w:w="844"/>
        <w:gridCol w:w="111"/>
        <w:gridCol w:w="109"/>
        <w:gridCol w:w="109"/>
        <w:gridCol w:w="109"/>
        <w:gridCol w:w="215"/>
        <w:gridCol w:w="844"/>
        <w:gridCol w:w="111"/>
        <w:gridCol w:w="109"/>
        <w:gridCol w:w="109"/>
        <w:gridCol w:w="109"/>
        <w:gridCol w:w="211"/>
        <w:gridCol w:w="796"/>
        <w:gridCol w:w="109"/>
        <w:gridCol w:w="109"/>
        <w:gridCol w:w="109"/>
        <w:gridCol w:w="109"/>
        <w:gridCol w:w="188"/>
        <w:gridCol w:w="188"/>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159,103 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213,862 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shd w:fill="FFFFFF" w:val="clear"/>
        </w:rPr>
        <w:t xml:space="preserve">The </w:t>
      </w:r>
      <w:r>
        <w:rPr>
          <w:rFonts w:ascii="Arial;sans-serif" w:hAnsi="Arial;sans-serif"/>
          <w:b w:val="false"/>
          <w:color w:val="000000"/>
          <w:sz w:val="20"/>
          <w:shd w:fill="FFFFFF" w:val="clear"/>
        </w:rPr>
        <w:t>decrease</w:t>
      </w:r>
      <w:r>
        <w:rPr>
          <w:color w:val="231F20"/>
          <w:shd w:fill="FFFFFF" w:val="clear"/>
        </w:rPr>
        <w:t xml:space="preserve"> </w:t>
      </w:r>
      <w:r>
        <w:rPr>
          <w:rFonts w:ascii="Arial;sans-serif" w:hAnsi="Arial;sans-serif"/>
          <w:b w:val="false"/>
          <w:color w:val="231F20"/>
          <w:sz w:val="20"/>
          <w:shd w:fill="FFFFFF" w:val="clear"/>
        </w:rPr>
        <w:t xml:space="preserve">in general and administrative expenses of </w:t>
      </w:r>
      <w:r>
        <w:rPr>
          <w:rFonts w:ascii="Arial;sans-serif" w:hAnsi="Arial;sans-serif"/>
          <w:b w:val="false"/>
          <w:color w:val="000000"/>
          <w:sz w:val="20"/>
          <w:shd w:fill="FFFFFF" w:val="clear"/>
        </w:rPr>
        <w:t>$54.8 million</w:t>
      </w:r>
      <w:r>
        <w:rPr>
          <w:color w:val="231F20"/>
          <w:shd w:fill="FFFFFF" w:val="clear"/>
        </w:rPr>
        <w:t xml:space="preserve"> </w:t>
      </w:r>
      <w:r>
        <w:rPr>
          <w:rFonts w:ascii="Arial;sans-serif" w:hAnsi="Arial;sans-serif"/>
          <w:b w:val="false"/>
          <w:color w:val="231F20"/>
          <w:sz w:val="20"/>
          <w:shd w:fill="FFFFFF" w:val="clear"/>
        </w:rPr>
        <w:t xml:space="preserve">or </w:t>
      </w:r>
      <w:r>
        <w:rPr>
          <w:rFonts w:ascii="Arial;sans-serif" w:hAnsi="Arial;sans-serif"/>
          <w:b w:val="false"/>
          <w:color w:val="000000"/>
          <w:sz w:val="20"/>
        </w:rPr>
        <w:t xml:space="preserve">26% </w:t>
      </w:r>
      <w:r>
        <w:rPr>
          <w:rFonts w:ascii="Arial;sans-serif" w:hAnsi="Arial;sans-serif"/>
          <w:b w:val="false"/>
          <w:color w:val="231F20"/>
          <w:sz w:val="20"/>
          <w:shd w:fill="FFFFFF" w:val="clear"/>
        </w:rPr>
        <w:t>was primarily attributable to decreases in legal and professional services expenses and compensation related expenses. Legal and professional services expenses decreased $28.6 million primarily due to no longer incurring legal and professional service fees related to compliance with the European Commission hold separate order and transaction costs related to our Spin-Off, completed on June 24, 2024. Compensation expenses decreased by $21.6 million primarily due to a $9.0 million decrease in stock-based compensation expense</w:t>
      </w:r>
      <w:r>
        <w:rPr>
          <w:rFonts w:ascii="Arial;sans-serif" w:hAnsi="Arial;sans-serif"/>
          <w:b w:val="false"/>
          <w:color w:val="000000"/>
          <w:sz w:val="20"/>
        </w:rPr>
        <w:t xml:space="preserve">, an $8.4 million decrease in </w:t>
      </w:r>
      <w:r>
        <w:rPr>
          <w:rFonts w:ascii="Arial;sans-serif" w:hAnsi="Arial;sans-serif"/>
          <w:b w:val="false"/>
          <w:color w:val="231F20"/>
          <w:sz w:val="20"/>
          <w:shd w:fill="FFFFFF" w:val="clear"/>
        </w:rPr>
        <w:t>salaries and wages, and a $5.9 million decrease in severance and benefits primarily due to the reduction in workforce related to the Restructuring Plan implemented in 2024, partially offset by a $1.6 million increase in variable compensation. Costs associated with the use of contractors and temporary labor decreased by $7.3 million due to cost optimization efforts. Other general and administrative costs increased by $2.7 million primarily due to higher allocated expenses due to changes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83845"/>
                <wp:effectExtent l="0" t="0" r="0" b="0"/>
                <wp:wrapNone/>
                <wp:docPr id="154" name="Frame14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Goodwill and Intangible Assets Impairment</w:t>
      </w:r>
    </w:p>
    <w:tbl>
      <w:tblPr>
        <w:tblW w:w="9155" w:type="dxa"/>
        <w:jc w:val="left"/>
        <w:tblInd w:w="0" w:type="dxa"/>
        <w:tblLayout w:type="fixed"/>
        <w:tblCellMar>
          <w:top w:w="28" w:type="dxa"/>
          <w:left w:w="28" w:type="dxa"/>
          <w:bottom w:w="28" w:type="dxa"/>
          <w:right w:w="28" w:type="dxa"/>
        </w:tblCellMar>
      </w:tblPr>
      <w:tblGrid>
        <w:gridCol w:w="1299"/>
        <w:gridCol w:w="1140"/>
        <w:gridCol w:w="1146"/>
        <w:gridCol w:w="237"/>
        <w:gridCol w:w="811"/>
        <w:gridCol w:w="122"/>
        <w:gridCol w:w="109"/>
        <w:gridCol w:w="109"/>
        <w:gridCol w:w="109"/>
        <w:gridCol w:w="211"/>
        <w:gridCol w:w="976"/>
        <w:gridCol w:w="109"/>
        <w:gridCol w:w="109"/>
        <w:gridCol w:w="109"/>
        <w:gridCol w:w="109"/>
        <w:gridCol w:w="211"/>
        <w:gridCol w:w="1051"/>
        <w:gridCol w:w="109"/>
        <w:gridCol w:w="109"/>
        <w:gridCol w:w="109"/>
        <w:gridCol w:w="109"/>
        <w:gridCol w:w="188"/>
        <w:gridCol w:w="188"/>
        <w:gridCol w:w="376"/>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intangible assets impairment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1,420,936 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(1,392,936)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Goodwill and intangible impairment decreased $1.4 billion or 98% due to a goodwill impairment charge of $888.9 million and an IPR&amp;D impairment charge of $532.0 million recognized during 2024, partially offset by an IPR&amp;D impairment charge of $28.0 million recognized in 2025.</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Interest Income</w:t>
      </w:r>
    </w:p>
    <w:tbl>
      <w:tblPr>
        <w:tblW w:w="6156" w:type="dxa"/>
        <w:jc w:val="left"/>
        <w:tblInd w:w="0" w:type="dxa"/>
        <w:tblLayout w:type="fixed"/>
        <w:tblCellMar>
          <w:top w:w="28" w:type="dxa"/>
          <w:left w:w="28" w:type="dxa"/>
          <w:bottom w:w="28" w:type="dxa"/>
          <w:right w:w="28" w:type="dxa"/>
        </w:tblCellMar>
      </w:tblPr>
      <w:tblGrid>
        <w:gridCol w:w="495"/>
        <w:gridCol w:w="434"/>
        <w:gridCol w:w="436"/>
        <w:gridCol w:w="237"/>
        <w:gridCol w:w="811"/>
        <w:gridCol w:w="122"/>
        <w:gridCol w:w="109"/>
        <w:gridCol w:w="109"/>
        <w:gridCol w:w="109"/>
        <w:gridCol w:w="237"/>
        <w:gridCol w:w="811"/>
        <w:gridCol w:w="122"/>
        <w:gridCol w:w="109"/>
        <w:gridCol w:w="109"/>
        <w:gridCol w:w="109"/>
        <w:gridCol w:w="211"/>
        <w:gridCol w:w="616"/>
        <w:gridCol w:w="109"/>
        <w:gridCol w:w="109"/>
        <w:gridCol w:w="109"/>
        <w:gridCol w:w="109"/>
        <w:gridCol w:w="109"/>
        <w:gridCol w:w="109"/>
        <w:gridCol w:w="316"/>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w:t>
      </w:r>
      <w:r>
        <w:rPr>
          <w:rFonts w:ascii="Arial;sans-serif" w:hAnsi="Arial;sans-serif"/>
          <w:b w:val="false"/>
          <w:color w:val="000000"/>
          <w:sz w:val="20"/>
        </w:rPr>
        <w:t>increase</w:t>
      </w:r>
      <w:r>
        <w:rPr>
          <w:color w:val="231F20"/>
        </w:rPr>
        <w:t xml:space="preserve"> </w:t>
      </w:r>
      <w:r>
        <w:rPr>
          <w:rFonts w:ascii="Arial;sans-serif" w:hAnsi="Arial;sans-serif"/>
          <w:b w:val="false"/>
          <w:color w:val="231F20"/>
          <w:sz w:val="20"/>
        </w:rPr>
        <w:t xml:space="preserve">in interest income of </w:t>
      </w:r>
      <w:r>
        <w:rPr>
          <w:rFonts w:ascii="Arial;sans-serif" w:hAnsi="Arial;sans-serif"/>
          <w:b w:val="false"/>
          <w:color w:val="000000"/>
          <w:sz w:val="20"/>
        </w:rPr>
        <w:t>$1.9 million</w:t>
      </w:r>
      <w:r>
        <w:rPr>
          <w:color w:val="231F20"/>
        </w:rPr>
        <w:t xml:space="preserve"> </w:t>
      </w:r>
      <w:r>
        <w:rPr>
          <w:rFonts w:ascii="Arial;sans-serif" w:hAnsi="Arial;sans-serif"/>
          <w:b w:val="false"/>
          <w:color w:val="231F20"/>
          <w:sz w:val="20"/>
        </w:rPr>
        <w:t xml:space="preserve">or </w:t>
      </w:r>
      <w:r>
        <w:rPr>
          <w:rFonts w:ascii="Arial;sans-serif" w:hAnsi="Arial;sans-serif"/>
          <w:b w:val="false"/>
          <w:color w:val="000000"/>
          <w:sz w:val="20"/>
        </w:rPr>
        <w:t xml:space="preserve">7% </w:t>
      </w:r>
      <w:r>
        <w:rPr>
          <w:rFonts w:ascii="Arial;sans-serif" w:hAnsi="Arial;sans-serif"/>
          <w:b w:val="false"/>
          <w:color w:val="231F20"/>
          <w:sz w:val="20"/>
        </w:rPr>
        <w:t xml:space="preserve">was </w:t>
      </w:r>
      <w:r>
        <w:rPr>
          <w:rFonts w:ascii="Arial;sans-serif" w:hAnsi="Arial;sans-serif"/>
          <w:b w:val="false"/>
          <w:color w:val="000000"/>
          <w:sz w:val="20"/>
        </w:rPr>
        <w:t>primarily driven by</w:t>
      </w:r>
      <w:r>
        <w:rPr>
          <w:color w:val="231F20"/>
        </w:rPr>
        <w:t xml:space="preserve"> </w:t>
      </w:r>
      <w:r>
        <w:rPr>
          <w:rFonts w:ascii="Arial;sans-serif" w:hAnsi="Arial;sans-serif"/>
          <w:b w:val="false"/>
          <w:color w:val="000000"/>
          <w:sz w:val="20"/>
        </w:rPr>
        <w:t>an increase</w:t>
      </w:r>
      <w:r>
        <w:rPr>
          <w:color w:val="231F20"/>
        </w:rPr>
        <w:t xml:space="preserve"> </w:t>
      </w:r>
      <w:r>
        <w:rPr>
          <w:rFonts w:ascii="Arial;sans-serif" w:hAnsi="Arial;sans-serif"/>
          <w:b w:val="false"/>
          <w:color w:val="000000"/>
          <w:sz w:val="20"/>
        </w:rPr>
        <w:t>in interest earned on our money market funds and short-term marketable securities primarily due to an increase in the average balance on hand.</w:t>
      </w:r>
    </w:p>
    <w:p>
      <w:pPr>
        <w:pStyle w:val="TextBody"/>
        <w:bidi w:val="0"/>
        <w:spacing w:lineRule="auto" w:line="288" w:before="360" w:after="283"/>
        <w:jc w:val="left"/>
        <w:rPr>
          <w:rFonts w:ascii="Arial;sans-serif" w:hAnsi="Arial;sans-serif"/>
          <w:b w:val="false"/>
          <w:i/>
          <w:color w:val="231F20"/>
          <w:sz w:val="20"/>
        </w:rPr>
      </w:pPr>
      <w:r>
        <w:rPr>
          <w:rFonts w:ascii="Arial;sans-serif" w:hAnsi="Arial;sans-serif"/>
          <w:b w:val="false"/>
          <w:i/>
          <w:color w:val="231F20"/>
          <w:sz w:val="20"/>
        </w:rPr>
        <w:t>Other Expense, net</w:t>
      </w:r>
    </w:p>
    <w:tbl>
      <w:tblPr>
        <w:tblW w:w="7722" w:type="dxa"/>
        <w:jc w:val="left"/>
        <w:tblInd w:w="0" w:type="dxa"/>
        <w:tblLayout w:type="fixed"/>
        <w:tblCellMar>
          <w:top w:w="28" w:type="dxa"/>
          <w:left w:w="28" w:type="dxa"/>
          <w:bottom w:w="28" w:type="dxa"/>
          <w:right w:w="28" w:type="dxa"/>
        </w:tblCellMar>
      </w:tblPr>
      <w:tblGrid>
        <w:gridCol w:w="880"/>
        <w:gridCol w:w="772"/>
        <w:gridCol w:w="777"/>
        <w:gridCol w:w="308"/>
        <w:gridCol w:w="703"/>
        <w:gridCol w:w="159"/>
        <w:gridCol w:w="109"/>
        <w:gridCol w:w="109"/>
        <w:gridCol w:w="109"/>
        <w:gridCol w:w="362"/>
        <w:gridCol w:w="619"/>
        <w:gridCol w:w="188"/>
        <w:gridCol w:w="109"/>
        <w:gridCol w:w="109"/>
        <w:gridCol w:w="109"/>
        <w:gridCol w:w="211"/>
        <w:gridCol w:w="691"/>
        <w:gridCol w:w="109"/>
        <w:gridCol w:w="109"/>
        <w:gridCol w:w="109"/>
        <w:gridCol w:w="109"/>
        <w:gridCol w:w="293"/>
        <w:gridCol w:w="293"/>
        <w:gridCol w:w="376"/>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73"/>
              <w:jc w:val="center"/>
              <w:rPr>
                <w:rFonts w:ascii="Arial;sans-serif" w:hAnsi="Arial;sans-serif"/>
                <w:b/>
                <w:color w:val="000000"/>
                <w:sz w:val="16"/>
              </w:rPr>
            </w:pPr>
            <w:r>
              <w:rPr>
                <w:rFonts w:ascii="Arial;sans-serif" w:hAnsi="Arial;sans-serif"/>
                <w:b/>
                <w:color w:val="00000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(1652</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450"/>
        <w:jc w:val="left"/>
        <w:rPr/>
      </w:pPr>
      <w:r>
        <w:rPr>
          <w:rFonts w:ascii="Arial;sans-serif" w:hAnsi="Arial;sans-serif"/>
          <w:b w:val="false"/>
          <w:color w:val="231F20"/>
          <w:sz w:val="20"/>
        </w:rPr>
        <w:t xml:space="preserve">The decrease in other income (expense), net of </w:t>
      </w:r>
      <w:r>
        <w:rPr>
          <w:rFonts w:ascii="Arial;sans-serif" w:hAnsi="Arial;sans-serif"/>
          <w:b w:val="false"/>
          <w:color w:val="000000"/>
          <w:sz w:val="20"/>
        </w:rPr>
        <w:t>$1.1 million</w:t>
      </w:r>
      <w:r>
        <w:rPr>
          <w:color w:val="231F20"/>
        </w:rPr>
        <w:t xml:space="preserve"> </w:t>
      </w:r>
      <w:r>
        <w:rPr>
          <w:rFonts w:ascii="Arial;sans-serif" w:hAnsi="Arial;sans-serif"/>
          <w:b w:val="false"/>
          <w:color w:val="231F20"/>
          <w:sz w:val="20"/>
        </w:rPr>
        <w:t>was</w:t>
      </w:r>
      <w:r>
        <w:rPr>
          <w:color w:val="000000"/>
        </w:rPr>
        <w:t xml:space="preserve"> </w:t>
      </w:r>
      <w:r>
        <w:rPr>
          <w:rFonts w:ascii="Arial;sans-serif" w:hAnsi="Arial;sans-serif"/>
          <w:b w:val="false"/>
          <w:color w:val="000000"/>
          <w:sz w:val="20"/>
        </w:rPr>
        <w:t>primarily a result of the fluctuation of foreign currency exchange rates.</w:t>
      </w:r>
    </w:p>
    <w:p>
      <w:pPr>
        <w:pStyle w:val="TextBody"/>
        <w:bidi w:val="0"/>
        <w:spacing w:lineRule="auto" w:line="288" w:before="240" w:after="283"/>
        <w:jc w:val="left"/>
        <w:rPr>
          <w:rFonts w:ascii="Arial;sans-serif" w:hAnsi="Arial;sans-serif"/>
          <w:b w:val="false"/>
          <w:i/>
          <w:color w:val="231F20"/>
          <w:sz w:val="20"/>
        </w:rPr>
      </w:pPr>
      <w:r>
        <w:rPr>
          <w:rFonts w:ascii="Arial;sans-serif" w:hAnsi="Arial;sans-serif"/>
          <w:b w:val="false"/>
          <w:i/>
          <w:color w:val="231F20"/>
          <w:sz w:val="20"/>
        </w:rPr>
        <w:t>Benefit from Income Taxes</w:t>
      </w:r>
    </w:p>
    <w:tbl>
      <w:tblPr>
        <w:tblW w:w="7198" w:type="dxa"/>
        <w:jc w:val="left"/>
        <w:tblInd w:w="0" w:type="dxa"/>
        <w:tblLayout w:type="fixed"/>
        <w:tblCellMar>
          <w:top w:w="28" w:type="dxa"/>
          <w:left w:w="28" w:type="dxa"/>
          <w:bottom w:w="28" w:type="dxa"/>
          <w:right w:w="28" w:type="dxa"/>
        </w:tblCellMar>
      </w:tblPr>
      <w:tblGrid>
        <w:gridCol w:w="804"/>
        <w:gridCol w:w="706"/>
        <w:gridCol w:w="709"/>
        <w:gridCol w:w="215"/>
        <w:gridCol w:w="844"/>
        <w:gridCol w:w="111"/>
        <w:gridCol w:w="109"/>
        <w:gridCol w:w="109"/>
        <w:gridCol w:w="109"/>
        <w:gridCol w:w="215"/>
        <w:gridCol w:w="844"/>
        <w:gridCol w:w="111"/>
        <w:gridCol w:w="109"/>
        <w:gridCol w:w="109"/>
        <w:gridCol w:w="109"/>
        <w:gridCol w:w="211"/>
        <w:gridCol w:w="691"/>
        <w:gridCol w:w="109"/>
        <w:gridCol w:w="109"/>
        <w:gridCol w:w="109"/>
        <w:gridCol w:w="109"/>
        <w:gridCol w:w="135"/>
        <w:gridCol w:w="136"/>
        <w:gridCol w:w="376"/>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126,153 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135,356 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720"/>
        <w:jc w:val="left"/>
        <w:rPr/>
      </w:pPr>
      <w:r>
        <w:rPr>
          <w:rFonts w:ascii="Arial;sans-serif" w:hAnsi="Arial;sans-serif"/>
          <w:b w:val="false"/>
          <w:color w:val="231F20"/>
          <w:sz w:val="20"/>
        </w:rPr>
        <w:t xml:space="preserve">The </w:t>
      </w:r>
      <w:r>
        <w:rPr>
          <w:rFonts w:ascii="Arial;sans-serif" w:hAnsi="Arial;sans-serif"/>
          <w:b w:val="false"/>
          <w:color w:val="000000"/>
          <w:sz w:val="20"/>
        </w:rPr>
        <w:t xml:space="preserve">decrease </w:t>
      </w:r>
      <w:r>
        <w:rPr>
          <w:rFonts w:ascii="Arial;sans-serif" w:hAnsi="Arial;sans-serif"/>
          <w:b w:val="false"/>
          <w:color w:val="231F20"/>
          <w:sz w:val="20"/>
        </w:rPr>
        <w:t xml:space="preserve">in benefit from income taxes of </w:t>
      </w:r>
      <w:r>
        <w:rPr>
          <w:rFonts w:ascii="Arial;sans-serif" w:hAnsi="Arial;sans-serif"/>
          <w:b w:val="false"/>
          <w:color w:val="000000"/>
          <w:sz w:val="20"/>
        </w:rPr>
        <w:t xml:space="preserve">$9.2 million or 7% </w:t>
      </w:r>
      <w:r>
        <w:rPr>
          <w:rFonts w:ascii="Arial;sans-serif" w:hAnsi="Arial;sans-serif"/>
          <w:b w:val="false"/>
          <w:color w:val="231F20"/>
          <w:sz w:val="20"/>
        </w:rPr>
        <w:t xml:space="preserve">was </w:t>
      </w:r>
      <w:r>
        <w:rPr>
          <w:rFonts w:ascii="Arial;sans-serif" w:hAnsi="Arial;sans-serif"/>
          <w:b w:val="false"/>
          <w:color w:val="000000"/>
          <w:sz w:val="20"/>
        </w:rPr>
        <w:t>primarily due to</w:t>
      </w:r>
      <w:r>
        <w:rPr>
          <w:color w:val="231F20"/>
        </w:rPr>
        <w:t xml:space="preserve"> </w:t>
      </w:r>
      <w:r>
        <w:rPr>
          <w:rFonts w:ascii="Arial;sans-serif" w:hAnsi="Arial;sans-serif"/>
          <w:b w:val="false"/>
          <w:color w:val="231F20"/>
          <w:sz w:val="20"/>
        </w:rPr>
        <w:t xml:space="preserve">an increase </w:t>
      </w:r>
      <w:r>
        <w:rPr>
          <w:rFonts w:ascii="Arial;sans-serif" w:hAnsi="Arial;sans-serif"/>
          <w:b w:val="false"/>
          <w:color w:val="000000"/>
          <w:sz w:val="20"/>
        </w:rPr>
        <w:t xml:space="preserve">in effective tax rate for the year ended December 31, 2025 when compared to the effective tax rate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Non-GAAP Financial Measures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In addition to our results provided throughout this Annual Report on Form 10-K that are determined in accordance with GAAP, this Annual Report on Form 10-K also includes the following non-GAAP financial measures for </w:t>
      </w:r>
      <w:r>
        <w:rPr>
          <w:rFonts w:ascii="Arial;sans-serif" w:hAnsi="Arial;sans-serif"/>
          <w:b w:val="false"/>
          <w:color w:val="000000"/>
          <w:sz w:val="20"/>
        </w:rPr>
        <w:t>2025, 2024, and 2023</w:t>
      </w:r>
      <w:r>
        <w:rPr>
          <w:rFonts w:ascii="Arial;sans-serif" w:hAnsi="Arial;sans-serif"/>
          <w:b w:val="false"/>
          <w:color w:val="231F20"/>
          <w:sz w:val="20"/>
        </w:rPr>
        <w:t>, which information should be read in conjunction with our audited Consolidated Financial Statements and the related notes and accompanying notes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83845"/>
                <wp:effectExtent l="0" t="0" r="0" b="0"/>
                <wp:wrapNone/>
                <wp:docPr id="155" name="Frame14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142</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i/>
          <w:color w:val="231F20"/>
          <w:sz w:val="20"/>
        </w:rPr>
      </w:pPr>
      <w:r>
        <w:rPr>
          <w:rFonts w:ascii="Arial;sans-serif" w:hAnsi="Arial;sans-serif"/>
          <w:b/>
          <w:i/>
          <w:color w:val="231F20"/>
          <w:sz w:val="20"/>
        </w:rPr>
        <w:t>Adjusted Gross Profit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depreciation and amortization, and the impact of our financing methods and income taxes.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calculate Adjusted Gross Profit as gross loss (as defined below) adjusted to exclude amortization of intangible assets and stock-based compensation allocated to cost of revenue. Adjusted Gross Profit should be viewed as a measure of operating performance that is a supplement to, and not a substitute for, operating income or loss from operations, net earnings or loss and other GAAP measures of income (loss) or profitability. The following table presents a reconciliation of gross loss, the most directly comparable financial measure calculated in accordance with GAAP, to Adjusted Gross Profit.</w:t>
      </w:r>
    </w:p>
    <w:tbl>
      <w:tblPr>
        <w:tblW w:w="6969" w:type="dxa"/>
        <w:jc w:val="center"/>
        <w:tblInd w:w="0" w:type="dxa"/>
        <w:tblLayout w:type="fixed"/>
        <w:tblCellMar>
          <w:top w:w="28" w:type="dxa"/>
          <w:left w:w="28" w:type="dxa"/>
          <w:bottom w:w="28" w:type="dxa"/>
          <w:right w:w="28" w:type="dxa"/>
        </w:tblCellMar>
      </w:tblPr>
      <w:tblGrid>
        <w:gridCol w:w="1000"/>
        <w:gridCol w:w="878"/>
        <w:gridCol w:w="882"/>
        <w:gridCol w:w="221"/>
        <w:gridCol w:w="835"/>
        <w:gridCol w:w="114"/>
        <w:gridCol w:w="109"/>
        <w:gridCol w:w="109"/>
        <w:gridCol w:w="109"/>
        <w:gridCol w:w="221"/>
        <w:gridCol w:w="835"/>
        <w:gridCol w:w="114"/>
        <w:gridCol w:w="109"/>
        <w:gridCol w:w="109"/>
        <w:gridCol w:w="109"/>
        <w:gridCol w:w="218"/>
        <w:gridCol w:w="838"/>
        <w:gridCol w:w="15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 xml:space="preserve">Gross loss </w:t>
            </w:r>
            <w:r>
              <w:rPr>
                <w:rFonts w:ascii="Arial;sans-serif" w:hAnsi="Arial;sans-serif"/>
                <w:b/>
                <w:color w:val="000000"/>
                <w:sz w:val="12"/>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(62,573)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(78,022)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133,889 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133,889 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Gross Profit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73,578 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57,821 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40,248 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Gross loss is calculated as total revenue less cost of revenue (exclusive of amortization of intangible assets), cost of development services revenue, and cost of revenue — amortization of intangible assets.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Adjusted EBITDA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different operational and ownership histories, and/or different forms of employee compensation.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calculate Adjusted EBITDA as net loss adjusted to exclude amortization of intangible assets, stock-based compensation, depreciation, goodwill and intangible assets impairment, restructuring, interest income, benefit from income tax expense, and legal and professional services costs related to the Acquisition and corresponding antitrust litigation, including compliance with the hold separate arrangements imposed by the European Commission, and our divestment from Illumina. We believe that the items subject to these further adjustments are not indicative of our ongoing operations due to their nature, especially considering the impact of certain items as a result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83845"/>
                <wp:effectExtent l="0" t="0" r="0" b="0"/>
                <wp:wrapNone/>
                <wp:docPr id="156" name="Frame14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143</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The following table presents a reconciliation of net loss, the most directly comparable financial measure calculated in accordance with U.S. GAAP, to Adjusted EBITDA on a consolidated basis.</w:t>
      </w:r>
    </w:p>
    <w:tbl>
      <w:tblPr>
        <w:tblW w:w="10205" w:type="dxa"/>
        <w:jc w:val="center"/>
        <w:tblInd w:w="0" w:type="dxa"/>
        <w:tblLayout w:type="fixed"/>
        <w:tblCellMar>
          <w:top w:w="28" w:type="dxa"/>
          <w:left w:w="28" w:type="dxa"/>
          <w:bottom w:w="28" w:type="dxa"/>
          <w:right w:w="28" w:type="dxa"/>
        </w:tblCellMar>
      </w:tblPr>
      <w:tblGrid>
        <w:gridCol w:w="2053"/>
        <w:gridCol w:w="1752"/>
        <w:gridCol w:w="1762"/>
        <w:gridCol w:w="211"/>
        <w:gridCol w:w="892"/>
        <w:gridCol w:w="109"/>
        <w:gridCol w:w="109"/>
        <w:gridCol w:w="109"/>
        <w:gridCol w:w="109"/>
        <w:gridCol w:w="211"/>
        <w:gridCol w:w="1042"/>
        <w:gridCol w:w="109"/>
        <w:gridCol w:w="109"/>
        <w:gridCol w:w="109"/>
        <w:gridCol w:w="109"/>
        <w:gridCol w:w="211"/>
        <w:gridCol w:w="1042"/>
        <w:gridCol w:w="157"/>
      </w:tblGrid>
      <w:tr>
        <w:trPr/>
        <w:tc>
          <w:tcPr>
            <w:tcW w:w="205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55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(1,465,685)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to exclude the following:</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r>
              <w:rPr>
                <w:color w:val="000000"/>
              </w:rPr>
              <w:t xml:space="preserve"> </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138,333 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Stock-based compensation </w:t>
            </w:r>
            <w:r>
              <w:rPr>
                <w:rFonts w:ascii="Arial;sans-serif" w:hAnsi="Arial;sans-serif"/>
                <w:b w:val="false"/>
                <w:color w:val="000000"/>
                <w:sz w:val="12"/>
              </w:rPr>
              <w:t>(2)</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Goodwill and intangible assets impairment </w:t>
            </w:r>
            <w:r>
              <w:rPr>
                <w:rFonts w:ascii="Arial;sans-serif" w:hAnsi="Arial;sans-serif"/>
                <w:b w:val="false"/>
                <w:color w:val="000000"/>
                <w:sz w:val="12"/>
              </w:rPr>
              <w:t>(3)</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73"/>
              <w:jc w:val="left"/>
              <w:rPr/>
            </w:pPr>
            <w:r>
              <w:rPr>
                <w:rFonts w:ascii="Arial;sans-serif" w:hAnsi="Arial;sans-serif"/>
                <w:b w:val="false"/>
                <w:color w:val="000000"/>
                <w:sz w:val="18"/>
              </w:rPr>
              <w:t xml:space="preserve">Restructuring </w:t>
            </w:r>
            <w:r>
              <w:rPr>
                <w:rFonts w:ascii="Arial;sans-serif" w:hAnsi="Arial;sans-serif"/>
                <w:b w:val="false"/>
                <w:color w:val="000000"/>
                <w:sz w:val="12"/>
              </w:rPr>
              <w:t>(4)</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Benefit from income 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Illumina/GRAIL merger &amp; divestiture legal and professional services costs </w:t>
            </w:r>
            <w:r>
              <w:rPr>
                <w:rFonts w:ascii="Arial;sans-serif" w:hAnsi="Arial;sans-serif"/>
                <w:b w:val="false"/>
                <w:color w:val="000000"/>
                <w:sz w:val="12"/>
              </w:rPr>
              <w:t>(5)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(320,563)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(483,547)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(523,872)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Represents amortization of intangible assets, including developed technology and trade names.</w:t>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Represents all stock-based compensation recognized on our standalone financial statements for the periods presented.</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Reflects impairment of goodwill and intangible assets recognized as a result of the Acquisition.</w:t>
      </w:r>
    </w:p>
    <w:p>
      <w:pPr>
        <w:pStyle w:val="TextBody"/>
        <w:bidi w:val="0"/>
        <w:spacing w:lineRule="auto" w:line="288" w:before="0" w:after="0"/>
        <w:jc w:val="left"/>
        <w:rPr/>
      </w:pPr>
      <w:r>
        <w:rPr>
          <w:rFonts w:ascii="Arial;sans-serif" w:hAnsi="Arial;sans-serif"/>
          <w:b w:val="false"/>
          <w:color w:val="000000"/>
          <w:sz w:val="10"/>
        </w:rPr>
        <w:t xml:space="preserve">(4) </w:t>
      </w:r>
      <w:r>
        <w:rPr>
          <w:rFonts w:ascii="Arial;sans-serif" w:hAnsi="Arial;sans-serif"/>
          <w:b w:val="false"/>
          <w:color w:val="000000"/>
          <w:sz w:val="16"/>
        </w:rPr>
        <w:t>Represents employee severance, benefits, payroll taxes, and other costs associated with the Restructuring Plan.</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Represents legal and professional services costs associated with the Acquisition and corresponding antitrust litigation, including compliance with the hold separate arrangements imposed by the European Commission, and legal and professional services costs associated with the divestiture.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fourth amendment to the Illumina Supply Agreement, our perpetual royalty payment obligation to Illumina is suspended until December 24, 2026 or any earlier change of control, at which time royalty payments to Illumina will resume without retroactive effect. In future periods, when we are obliged to make royalty payments under the Illumina Supply Agreement, our gross loss, adjusted gross profit, net loss and Adjusted EBITDA will be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83845"/>
                <wp:effectExtent l="0" t="0" r="0" b="0"/>
                <wp:wrapNone/>
                <wp:docPr id="157" name="Frame14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144</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Liquidity and Capital Resources</w:t>
      </w:r>
    </w:p>
    <w:p>
      <w:pPr>
        <w:pStyle w:val="TextBody"/>
        <w:bidi w:val="0"/>
        <w:spacing w:lineRule="auto" w:line="288" w:before="120" w:after="283"/>
        <w:jc w:val="left"/>
        <w:rPr>
          <w:rFonts w:ascii="Arial;sans-serif" w:hAnsi="Arial;sans-serif"/>
          <w:b/>
          <w:i/>
          <w:color w:val="231F20"/>
          <w:sz w:val="20"/>
        </w:rPr>
      </w:pPr>
      <w:r>
        <w:rPr>
          <w:rFonts w:ascii="Arial;sans-serif" w:hAnsi="Arial;sans-serif"/>
          <w:b/>
          <w:i/>
          <w:color w:val="231F20"/>
          <w:sz w:val="20"/>
        </w:rPr>
        <w:t>Sources of Liquidity</w:t>
      </w:r>
    </w:p>
    <w:p>
      <w:pPr>
        <w:pStyle w:val="TextBody"/>
        <w:bidi w:val="0"/>
        <w:spacing w:lineRule="auto" w:line="288" w:before="240" w:after="283"/>
        <w:ind w:left="0" w:right="0" w:firstLine="450"/>
        <w:jc w:val="left"/>
        <w:rPr/>
      </w:pPr>
      <w:r>
        <w:rPr>
          <w:rFonts w:ascii="Arial;sans-serif" w:hAnsi="Arial;sans-serif"/>
          <w:b w:val="false"/>
          <w:color w:val="000000"/>
          <w:sz w:val="20"/>
        </w:rPr>
        <w:t>From inception through the closing date of Illumina’s acquisition of GRAIL, we had funded our operations primarily through the sale and issuance of redeemable convertible preferred stock and receipt of continuation payments from Illumina. Post- Acquisition until completion of the Spin-Off, we received funding on a quarterly basis directly from Illumina. While we generate revenue from screening and development services, these revenues have not been sufficient to fund all operations. On June 21, 2024, in connection with the Spin-Off, we received a cash contribution of $932.3 million from Illumina.</w:t>
      </w:r>
      <w:r>
        <w:rPr>
          <w:color w:val="231F2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October 2025, we completed the PIPE and received aggregate net proceeds of $311.3 million, after deducting issuance costs of $13.7 million.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2025, we issued 1,169,218 shares of our common stock under the ATM program at the prevailing market prices for aggregate net proceeds of $107.5 million, after deducting issuance costs of $3.2 million. As of December 31, 2025, $189.3 million worth of shares of common stock remained available for sale pursuant to the ATM program.</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As of </w:t>
      </w:r>
      <w:r>
        <w:rPr>
          <w:rFonts w:ascii="Arial;sans-serif" w:hAnsi="Arial;sans-serif"/>
          <w:b w:val="false"/>
          <w:color w:val="000000"/>
          <w:sz w:val="20"/>
        </w:rPr>
        <w:t>December 31, 2025</w:t>
      </w:r>
      <w:r>
        <w:rPr>
          <w:rFonts w:ascii="Arial;sans-serif" w:hAnsi="Arial;sans-serif"/>
          <w:b w:val="false"/>
          <w:color w:val="231F20"/>
          <w:sz w:val="20"/>
        </w:rPr>
        <w:t xml:space="preserve">, our cash and cash equivalents totaled </w:t>
      </w:r>
      <w:r>
        <w:rPr>
          <w:rFonts w:ascii="Arial;sans-serif" w:hAnsi="Arial;sans-serif"/>
          <w:b w:val="false"/>
          <w:color w:val="000000"/>
          <w:sz w:val="20"/>
        </w:rPr>
        <w:t>$249.7 million and our short-term marketable securities totaled $654.7 million</w:t>
      </w:r>
      <w:r>
        <w:rPr>
          <w:rFonts w:ascii="Arial;sans-serif" w:hAnsi="Arial;sans-serif"/>
          <w:b w:val="false"/>
          <w:color w:val="231F20"/>
          <w:sz w:val="20"/>
        </w:rPr>
        <w:t>.</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In October 2025, we signed the Samsung Stock Purchase Agreement providing for the purchase by the Samsung Investors of </w:t>
      </w:r>
      <w:r>
        <w:rPr>
          <w:rFonts w:ascii="Arial;sans-serif" w:hAnsi="Arial;sans-serif"/>
          <w:b w:val="false"/>
          <w:color w:val="231F20"/>
          <w:sz w:val="20"/>
        </w:rPr>
        <w:t>1,570,308</w:t>
      </w:r>
      <w:r>
        <w:rPr>
          <w:color w:val="000000"/>
        </w:rPr>
        <w:t xml:space="preserve"> </w:t>
      </w:r>
      <w:r>
        <w:rPr>
          <w:rFonts w:ascii="Arial;sans-serif" w:hAnsi="Arial;sans-serif"/>
          <w:b w:val="false"/>
          <w:color w:val="000000"/>
          <w:sz w:val="20"/>
        </w:rPr>
        <w:t>shares for aggregated net proceeds of $110.0 million, excluding any issuance costs. The Samsung Investment has not closed, and remains subject to the satisfaction of certain closing conditions set forth in the Samsung Stock Purchase Agreement, including, but not limited to the satisfaction of certain regulatory approvals or clearances, including with respect to the Committee on Foreign Investment in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intend to use the net proceeds from these transactions to fund our commercial activities and reimbursement efforts, as well as for working capital and other general corporate purposes.</w:t>
      </w:r>
    </w:p>
    <w:p>
      <w:pPr>
        <w:pStyle w:val="TextBody"/>
        <w:bidi w:val="0"/>
        <w:spacing w:lineRule="auto" w:line="288" w:before="360" w:after="283"/>
        <w:ind w:left="0" w:right="0" w:firstLine="450"/>
        <w:jc w:val="left"/>
        <w:rPr>
          <w:rFonts w:ascii="Arial;sans-serif" w:hAnsi="Arial;sans-serif"/>
          <w:b/>
          <w:i/>
          <w:color w:val="231F20"/>
          <w:sz w:val="20"/>
        </w:rPr>
      </w:pPr>
      <w:r>
        <w:rPr>
          <w:rFonts w:ascii="Arial;sans-serif" w:hAnsi="Arial;sans-serif"/>
          <w:b/>
          <w:i/>
          <w:color w:val="231F20"/>
          <w:sz w:val="20"/>
        </w:rPr>
        <w:t>Future Funding Requirements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We began generating revenue in mid-2021, but we have continued to incur significant losses and negative cash flows from operations. Subsequent to the Acquisition, we have incurred net losses of </w:t>
      </w:r>
      <w:r>
        <w:rPr>
          <w:rFonts w:ascii="Arial;sans-serif" w:hAnsi="Arial;sans-serif"/>
          <w:b w:val="false"/>
          <w:color w:val="000000"/>
          <w:sz w:val="20"/>
        </w:rPr>
        <w:t>$10.2 billion</w:t>
      </w:r>
      <w:r>
        <w:rPr>
          <w:color w:val="231F20"/>
        </w:rPr>
        <w:t xml:space="preserve"> </w:t>
      </w:r>
      <w:r>
        <w:rPr>
          <w:rFonts w:ascii="Arial;sans-serif" w:hAnsi="Arial;sans-serif"/>
          <w:b w:val="false"/>
          <w:color w:val="231F20"/>
          <w:sz w:val="20"/>
        </w:rPr>
        <w:t>which includes cumulative charges of $</w:t>
      </w:r>
      <w:r>
        <w:rPr>
          <w:rFonts w:ascii="Arial;sans-serif" w:hAnsi="Arial;sans-serif"/>
          <w:b w:val="false"/>
          <w:color w:val="000000"/>
          <w:sz w:val="20"/>
        </w:rPr>
        <w:t>7</w:t>
      </w:r>
      <w:r>
        <w:rPr>
          <w:rFonts w:ascii="Arial;sans-serif" w:hAnsi="Arial;sans-serif"/>
          <w:b w:val="false"/>
          <w:color w:val="231F20"/>
          <w:sz w:val="20"/>
        </w:rPr>
        <w:t xml:space="preserve">.0 billion for impairment of goodwill and intangible assets. </w:t>
      </w:r>
      <w:r>
        <w:rPr>
          <w:rFonts w:ascii="Arial;sans-serif" w:hAnsi="Arial;sans-serif"/>
          <w:b w:val="false"/>
          <w:color w:val="000000"/>
          <w:sz w:val="20"/>
        </w:rPr>
        <w:t xml:space="preserve">We expect to continue to incur operating losses over at least the next several years as we continue to invest in research and development and seek to achieve broad reimbursement of our current commercialized products. We believe that our existing cash, cash equivalents and short-term marketable securities will be sufficient to meet our working capital and capital expenditure needs into 2030, as of the date of this Annual Report on Form 10-K. However, we anticipate that we will need to raise additional financing in the future to fund our operations. Our future capital requirements will depend on many factors, including the timing and extent of spending to support commercialization and pipeline product development, market acceptance of our products prior to broad reimbursement, and the timing of broad reimbursement. We are subject to typical risks associated with an early-stage commercial company and are developing the market for multi-cancer early detection. We may encounter complications with executing our business plans that may cause unforeseen expenses and adversely affect our business.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are also restricted in our ability to raise money through certain transactions or with certain parties pursuant to the terms of the Tax Matters Agreement we entered into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83845"/>
                <wp:effectExtent l="0" t="0" r="0" b="0"/>
                <wp:wrapNone/>
                <wp:docPr id="158" name="Frame15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145</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Illumina on June 24, 2024 in connection with the Spin-Off.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summarizes our cash flows for the periods presented:</w:t>
      </w:r>
    </w:p>
    <w:tbl>
      <w:tblPr>
        <w:tblW w:w="10205" w:type="dxa"/>
        <w:jc w:val="center"/>
        <w:tblInd w:w="0" w:type="dxa"/>
        <w:tblLayout w:type="fixed"/>
        <w:tblCellMar>
          <w:top w:w="28" w:type="dxa"/>
          <w:left w:w="28" w:type="dxa"/>
          <w:bottom w:w="28" w:type="dxa"/>
          <w:right w:w="28" w:type="dxa"/>
        </w:tblCellMar>
      </w:tblPr>
      <w:tblGrid>
        <w:gridCol w:w="1815"/>
        <w:gridCol w:w="1533"/>
        <w:gridCol w:w="1540"/>
        <w:gridCol w:w="211"/>
        <w:gridCol w:w="882"/>
        <w:gridCol w:w="109"/>
        <w:gridCol w:w="109"/>
        <w:gridCol w:w="109"/>
        <w:gridCol w:w="109"/>
        <w:gridCol w:w="211"/>
        <w:gridCol w:w="882"/>
        <w:gridCol w:w="109"/>
        <w:gridCol w:w="109"/>
        <w:gridCol w:w="109"/>
        <w:gridCol w:w="109"/>
        <w:gridCol w:w="211"/>
        <w:gridCol w:w="826"/>
        <w:gridCol w:w="109"/>
        <w:gridCol w:w="109"/>
        <w:gridCol w:w="109"/>
        <w:gridCol w:w="109"/>
        <w:gridCol w:w="233"/>
        <w:gridCol w:w="233"/>
        <w:gridCol w:w="320"/>
      </w:tblGrid>
      <w:tr>
        <w:trPr/>
        <w:tc>
          <w:tcPr>
            <w:tcW w:w="181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(577,156)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30"/>
              <w:jc w:val="right"/>
              <w:rPr>
                <w:rFonts w:ascii="Arial;sans-serif" w:hAnsi="Arial;sans-serif"/>
                <w:b w:val="false"/>
                <w:color w:val="000000"/>
                <w:sz w:val="18"/>
              </w:rPr>
            </w:pPr>
            <w:r>
              <w:rPr>
                <w:rFonts w:ascii="Arial;sans-serif" w:hAnsi="Arial;sans-serif"/>
                <w:b w:val="false"/>
                <w:color w:val="000000"/>
                <w:sz w:val="18"/>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by investing activities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Arial;sans-serif" w:hAnsi="Arial;sans-serif"/>
                <w:b w:val="false"/>
                <w:color w:val="000000"/>
                <w:sz w:val="18"/>
              </w:rPr>
            </w:pPr>
            <w:r>
              <w:rPr>
                <w:rFonts w:ascii="Arial;sans-serif" w:hAnsi="Arial;sans-serif"/>
                <w:b w:val="false"/>
                <w:color w:val="000000"/>
                <w:sz w:val="18"/>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(820,979)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30"/>
              <w:jc w:val="right"/>
              <w:rPr>
                <w:rFonts w:ascii="Arial;sans-serif" w:hAnsi="Arial;sans-serif"/>
                <w:b w:val="false"/>
                <w:color w:val="000000"/>
                <w:sz w:val="18"/>
              </w:rPr>
            </w:pPr>
            <w:r>
              <w:rPr>
                <w:rFonts w:ascii="Arial;sans-serif" w:hAnsi="Arial;sans-serif"/>
                <w:b w:val="false"/>
                <w:color w:val="000000"/>
                <w:sz w:val="18"/>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15"/>
              <w:jc w:val="left"/>
              <w:rPr>
                <w:rFonts w:ascii="Arial;sans-serif" w:hAnsi="Arial;sans-serif"/>
                <w:b/>
                <w:color w:val="000000"/>
                <w:sz w:val="18"/>
              </w:rPr>
            </w:pPr>
            <w:r>
              <w:rPr>
                <w:rFonts w:ascii="Arial;sans-serif" w:hAnsi="Arial;sans-serif"/>
                <w:b/>
                <w:color w:val="000000"/>
                <w:sz w:val="18"/>
              </w:rPr>
              <w:t>Net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Generally, our net cash provided by financing activities is used to fund our day to day operating activities. First quarter operating cash requirements are generally higher due to payment in the first quarter of our annual bonuses accrued during the prior year. During 2025 and 2024, cash paid for annual bonuses accrued during the prior year was $24.2 million and $25.9 million. As of December 31, 2025, $22.8 million is accrued related to annual bonuses that will be paid in the first quarter of 2026.</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Net Cash Used by Operating Activities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decrease in net cash used by operating activities was primarily driven by an improvement in the net loss, adjusted for non-cash changes of </w:t>
      </w:r>
      <w:r>
        <w:rPr>
          <w:rFonts w:ascii="Arial;sans-serif" w:hAnsi="Arial;sans-serif"/>
          <w:b w:val="false"/>
          <w:color w:val="000000"/>
          <w:sz w:val="20"/>
        </w:rPr>
        <w:t>$241.5 million</w:t>
      </w:r>
      <w:r>
        <w:rPr>
          <w:color w:val="231F20"/>
        </w:rPr>
        <w:t xml:space="preserve"> </w:t>
      </w:r>
      <w:r>
        <w:rPr>
          <w:rFonts w:ascii="Arial;sans-serif" w:hAnsi="Arial;sans-serif"/>
          <w:b w:val="false"/>
          <w:color w:val="231F20"/>
          <w:sz w:val="20"/>
        </w:rPr>
        <w:t xml:space="preserve">and positive working capital changes of </w:t>
      </w:r>
      <w:r>
        <w:rPr>
          <w:rFonts w:ascii="Arial;sans-serif" w:hAnsi="Arial;sans-serif"/>
          <w:b w:val="false"/>
          <w:color w:val="000000"/>
          <w:sz w:val="20"/>
        </w:rPr>
        <w:t>$36.7 million</w:t>
      </w:r>
      <w:r>
        <w:rPr>
          <w:rFonts w:ascii="Arial;sans-serif" w:hAnsi="Arial;sans-serif"/>
          <w:b w:val="false"/>
          <w:color w:val="231F20"/>
          <w:sz w:val="20"/>
        </w:rPr>
        <w:t>, primarily due to an increase in revenue collections, a decrease in operating expenses primarily driven by a reduction in workforce related to the Restructuring Plan, a decrease in clinical studies driven by completion of enrollment in our PATHFINDER 2 study and completion of final study visits in our NHS-Galleri Trial and a decrease in purchases of laboratory supplies driven by the completion of the development and validation of our automated platform at the end of 2024 and lower clinical studies sample processing. In addition, prior to the Spin-Off, our stock based compensation was settled in cash and subsequent to the Spin-Off settled in shares.</w:t>
      </w:r>
    </w:p>
    <w:p>
      <w:pPr>
        <w:pStyle w:val="TextBody"/>
        <w:bidi w:val="0"/>
        <w:spacing w:lineRule="auto" w:line="288" w:before="360" w:after="283"/>
        <w:jc w:val="left"/>
        <w:rPr>
          <w:rFonts w:ascii="Arial;sans-serif" w:hAnsi="Arial;sans-serif"/>
          <w:b/>
          <w:i/>
          <w:color w:val="231F20"/>
          <w:sz w:val="20"/>
        </w:rPr>
      </w:pPr>
      <w:r>
        <w:rPr>
          <w:rFonts w:ascii="Arial;sans-serif" w:hAnsi="Arial;sans-serif"/>
          <w:b/>
          <w:i/>
          <w:color w:val="231F20"/>
          <w:sz w:val="20"/>
        </w:rPr>
        <w:t>Net Cash Used by Investing Activities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decrease in net cash used by investing activities </w:t>
      </w:r>
      <w:r>
        <w:rPr>
          <w:rFonts w:ascii="Arial;sans-serif" w:hAnsi="Arial;sans-serif"/>
          <w:b w:val="false"/>
          <w:color w:val="000000"/>
          <w:sz w:val="20"/>
        </w:rPr>
        <w:t>was primarily related to proceeds from maturities of marketable securities, net of purchases of marketable securities.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Net Cash Provided by Financing Activities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decrease in net cash provided by financing activities was primarily related to the funding received from Illumina in 2024 prior to the Spin-off of </w:t>
      </w:r>
      <w:r>
        <w:rPr>
          <w:rFonts w:ascii="Arial;sans-serif" w:hAnsi="Arial;sans-serif"/>
          <w:b w:val="false"/>
          <w:color w:val="000000"/>
          <w:sz w:val="20"/>
        </w:rPr>
        <w:t>$1.2 billion</w:t>
      </w:r>
      <w:r>
        <w:rPr>
          <w:rFonts w:ascii="Arial;sans-serif" w:hAnsi="Arial;sans-serif"/>
          <w:b w:val="false"/>
          <w:color w:val="231F20"/>
          <w:sz w:val="20"/>
        </w:rPr>
        <w:t xml:space="preserve">, partially offset by net proceeds from equity offerings of </w:t>
      </w:r>
      <w:r>
        <w:rPr>
          <w:rFonts w:ascii="Arial;sans-serif" w:hAnsi="Arial;sans-serif"/>
          <w:b w:val="false"/>
          <w:color w:val="000000"/>
          <w:sz w:val="20"/>
        </w:rPr>
        <w:t>$418.8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Off-Balance Sheet Arrangements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In accordance with our lease agreements, we provided standby letters of credit totaling </w:t>
      </w:r>
      <w:r>
        <w:rPr>
          <w:rFonts w:ascii="Arial;sans-serif" w:hAnsi="Arial;sans-serif"/>
          <w:b w:val="false"/>
          <w:color w:val="000000"/>
          <w:sz w:val="20"/>
        </w:rPr>
        <w:t>$7.0 million</w:t>
      </w:r>
      <w:r>
        <w:rPr>
          <w:color w:val="231F20"/>
        </w:rPr>
        <w:t xml:space="preserve"> </w:t>
      </w:r>
      <w:r>
        <w:rPr>
          <w:rFonts w:ascii="Arial;sans-serif" w:hAnsi="Arial;sans-serif"/>
          <w:b w:val="false"/>
          <w:color w:val="231F20"/>
          <w:sz w:val="20"/>
        </w:rPr>
        <w:t>in lieu of a security deposit. These letters of credit remain effective through March 1, 2028 and January 28, 2038.</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Except for the letters of credit mentioned above, we did not have during the periods presented, and 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83845"/>
                <wp:effectExtent l="0" t="0" r="0" b="0"/>
                <wp:wrapNone/>
                <wp:docPr id="159" name="Frame15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146</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Material Cash Requirements</w:t>
      </w:r>
    </w:p>
    <w:p>
      <w:pPr>
        <w:pStyle w:val="TextBody"/>
        <w:bidi w:val="0"/>
        <w:spacing w:lineRule="auto" w:line="288" w:before="120" w:after="283"/>
        <w:ind w:left="0" w:right="0" w:firstLine="450"/>
        <w:jc w:val="left"/>
        <w:rPr>
          <w:rFonts w:ascii="Arial;sans-serif" w:hAnsi="Arial;sans-serif"/>
          <w:b w:val="false"/>
          <w:color w:val="231F20"/>
          <w:sz w:val="20"/>
        </w:rPr>
      </w:pPr>
      <w:r>
        <w:rPr>
          <w:rFonts w:ascii="Arial;sans-serif" w:hAnsi="Arial;sans-serif"/>
          <w:b w:val="false"/>
          <w:color w:val="231F20"/>
          <w:sz w:val="20"/>
        </w:rPr>
        <w:t>Our material cash requirements include the following contractual and other obligations as of December 31, 2025:</w:t>
      </w:r>
    </w:p>
    <w:p>
      <w:pPr>
        <w:pStyle w:val="TextBody"/>
        <w:bidi w:val="0"/>
        <w:spacing w:lineRule="auto" w:line="288" w:before="360" w:after="283"/>
        <w:ind w:left="0" w:right="0" w:firstLine="450"/>
        <w:jc w:val="left"/>
        <w:rPr>
          <w:rFonts w:ascii="Arial;sans-serif" w:hAnsi="Arial;sans-serif"/>
          <w:b/>
          <w:i/>
          <w:color w:val="231F20"/>
          <w:sz w:val="20"/>
        </w:rPr>
      </w:pPr>
      <w:r>
        <w:rPr>
          <w:rFonts w:ascii="Arial;sans-serif" w:hAnsi="Arial;sans-serif"/>
          <w:b/>
          <w:i/>
          <w:color w:val="231F20"/>
          <w:sz w:val="20"/>
        </w:rPr>
        <w:t>Leases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We act as lessee in our lease agreements, which include operating leases for our corporate office, laboratory space and laboratory and office equipment. As of December 31, 2025, we had minimum operating lease payments of </w:t>
      </w:r>
      <w:r>
        <w:rPr>
          <w:rFonts w:ascii="Arial;sans-serif" w:hAnsi="Arial;sans-serif"/>
          <w:b w:val="false"/>
          <w:color w:val="000000"/>
          <w:sz w:val="20"/>
        </w:rPr>
        <w:t xml:space="preserve">$70.8 million, of </w:t>
      </w:r>
      <w:r>
        <w:rPr>
          <w:rFonts w:ascii="Arial;sans-serif" w:hAnsi="Arial;sans-serif"/>
          <w:b w:val="false"/>
          <w:color w:val="231F20"/>
          <w:sz w:val="20"/>
        </w:rPr>
        <w:t xml:space="preserve">which </w:t>
      </w:r>
      <w:r>
        <w:rPr>
          <w:rFonts w:ascii="Arial;sans-serif" w:hAnsi="Arial;sans-serif"/>
          <w:b w:val="false"/>
          <w:color w:val="000000"/>
          <w:sz w:val="20"/>
        </w:rPr>
        <w:t>$13.6 million</w:t>
      </w:r>
      <w:r>
        <w:rPr>
          <w:color w:val="231F20"/>
        </w:rPr>
        <w:t xml:space="preserve"> </w:t>
      </w:r>
      <w:r>
        <w:rPr>
          <w:rFonts w:ascii="Arial;sans-serif" w:hAnsi="Arial;sans-serif"/>
          <w:b w:val="false"/>
          <w:color w:val="231F20"/>
          <w:sz w:val="20"/>
        </w:rPr>
        <w:t xml:space="preserve">is payable in 2026. These minimum lease payments exclude future lease payments associated with our Sunnyvale, California lease of </w:t>
      </w:r>
      <w:r>
        <w:rPr>
          <w:rFonts w:ascii="Arial;sans-serif" w:hAnsi="Arial;sans-serif"/>
          <w:b w:val="false"/>
          <w:color w:val="000000"/>
          <w:sz w:val="20"/>
        </w:rPr>
        <w:t>$61.7 million.</w:t>
      </w:r>
      <w:r>
        <w:rPr>
          <w:color w:val="231F20"/>
        </w:rPr>
        <w:t xml:space="preserve"> </w:t>
      </w:r>
      <w:r>
        <w:rPr>
          <w:rFonts w:ascii="Arial;sans-serif" w:hAnsi="Arial;sans-serif"/>
          <w:b w:val="false"/>
          <w:color w:val="231F20"/>
          <w:sz w:val="20"/>
        </w:rPr>
        <w:t xml:space="preserve">The Sunnyvale, California lease will commence on October 1, 2026 and </w:t>
      </w:r>
      <w:r>
        <w:rPr>
          <w:rFonts w:ascii="Arial;sans-serif" w:hAnsi="Arial;sans-serif"/>
          <w:b w:val="false"/>
          <w:color w:val="000000"/>
          <w:sz w:val="20"/>
        </w:rPr>
        <w:t xml:space="preserve">we expect the lease commencement date for accounting purposes to be in the first half of 2026. Refer to </w:t>
      </w:r>
      <w:r>
        <w:rPr>
          <w:rFonts w:ascii="Arial;sans-serif" w:hAnsi="Arial;sans-serif"/>
          <w:b w:val="false"/>
          <w:i/>
          <w:color w:val="000000"/>
          <w:sz w:val="20"/>
        </w:rPr>
        <w:t xml:space="preserve">Note 9 — Leases </w:t>
      </w:r>
      <w:r>
        <w:rPr>
          <w:rFonts w:ascii="Arial;sans-serif" w:hAnsi="Arial;sans-serif"/>
          <w:b w:val="false"/>
          <w:color w:val="000000"/>
          <w:sz w:val="20"/>
        </w:rPr>
        <w:t xml:space="preserve">in item 8 in this Annual Report on Form 10K </w:t>
      </w:r>
      <w:r>
        <w:rPr>
          <w:rFonts w:ascii="Arial;sans-serif" w:hAnsi="Arial;sans-serif"/>
          <w:b w:val="false"/>
          <w:color w:val="231F20"/>
          <w:sz w:val="20"/>
        </w:rPr>
        <w:t>for more details on the Sunnyvale, California lease.</w:t>
      </w:r>
    </w:p>
    <w:p>
      <w:pPr>
        <w:pStyle w:val="TextBody"/>
        <w:bidi w:val="0"/>
        <w:spacing w:lineRule="auto" w:line="288" w:before="360" w:after="283"/>
        <w:jc w:val="left"/>
        <w:rPr>
          <w:rFonts w:ascii="Arial;sans-serif" w:hAnsi="Arial;sans-serif"/>
          <w:b/>
          <w:i/>
          <w:color w:val="231F20"/>
          <w:sz w:val="20"/>
        </w:rPr>
      </w:pPr>
      <w:r>
        <w:rPr>
          <w:rFonts w:ascii="Arial;sans-serif" w:hAnsi="Arial;sans-serif"/>
          <w:b/>
          <w:i/>
          <w:color w:val="231F20"/>
          <w:sz w:val="20"/>
        </w:rPr>
        <w:t>Purchase Commitments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and laboratory supplies in the normal course of business. As of December 31, 2025, we had non-cancelable purchase obligations of </w:t>
      </w:r>
      <w:r>
        <w:rPr>
          <w:rFonts w:ascii="Arial;sans-serif" w:hAnsi="Arial;sans-serif"/>
          <w:b w:val="false"/>
          <w:color w:val="000000"/>
          <w:sz w:val="20"/>
        </w:rPr>
        <w:t>$52.8 million</w:t>
      </w:r>
      <w:r>
        <w:rPr>
          <w:rFonts w:ascii="Arial;sans-serif" w:hAnsi="Arial;sans-serif"/>
          <w:b w:val="false"/>
          <w:color w:val="231F20"/>
          <w:sz w:val="20"/>
        </w:rPr>
        <w:t xml:space="preserve">, with </w:t>
      </w:r>
      <w:r>
        <w:rPr>
          <w:rFonts w:ascii="Arial;sans-serif" w:hAnsi="Arial;sans-serif"/>
          <w:b w:val="false"/>
          <w:color w:val="000000"/>
          <w:sz w:val="20"/>
        </w:rPr>
        <w:t xml:space="preserve">$25.0 million </w:t>
      </w:r>
      <w:r>
        <w:rPr>
          <w:rFonts w:ascii="Arial;sans-serif" w:hAnsi="Arial;sans-serif"/>
          <w:b w:val="false"/>
          <w:color w:val="231F20"/>
          <w:sz w:val="20"/>
        </w:rPr>
        <w:t>payable within twelve months of December 31, 2025.</w:t>
      </w:r>
    </w:p>
    <w:p>
      <w:pPr>
        <w:pStyle w:val="TextBody"/>
        <w:bidi w:val="0"/>
        <w:spacing w:lineRule="auto" w:line="288" w:before="360" w:after="283"/>
        <w:jc w:val="left"/>
        <w:rPr>
          <w:rFonts w:ascii="Arial;sans-serif" w:hAnsi="Arial;sans-serif"/>
          <w:b/>
          <w:i/>
          <w:color w:val="231F20"/>
          <w:sz w:val="20"/>
        </w:rPr>
      </w:pPr>
      <w:r>
        <w:rPr>
          <w:rFonts w:ascii="Arial;sans-serif" w:hAnsi="Arial;sans-serif"/>
          <w:b/>
          <w:i/>
          <w:color w:val="231F20"/>
          <w:sz w:val="20"/>
        </w:rPr>
        <w:t>Minimum Royalties</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Minimum royalty payments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December 31, 2025, we had minimum royalty commitments of </w:t>
      </w:r>
      <w:r>
        <w:rPr>
          <w:rFonts w:ascii="Arial;sans-serif" w:hAnsi="Arial;sans-serif"/>
          <w:b w:val="false"/>
          <w:color w:val="000000"/>
          <w:sz w:val="20"/>
        </w:rPr>
        <w:t>$5.7 million</w:t>
      </w:r>
      <w:r>
        <w:rPr>
          <w:rFonts w:ascii="Arial;sans-serif" w:hAnsi="Arial;sans-serif"/>
          <w:b w:val="false"/>
          <w:color w:val="231F20"/>
          <w:sz w:val="20"/>
        </w:rPr>
        <w:t xml:space="preserve">, with </w:t>
      </w:r>
      <w:r>
        <w:rPr>
          <w:rFonts w:ascii="Arial;sans-serif" w:hAnsi="Arial;sans-serif"/>
          <w:b w:val="false"/>
          <w:color w:val="000000"/>
          <w:sz w:val="20"/>
        </w:rPr>
        <w:t xml:space="preserve">$1.0 million </w:t>
      </w:r>
      <w:r>
        <w:rPr>
          <w:rFonts w:ascii="Arial;sans-serif" w:hAnsi="Arial;sans-serif"/>
          <w:b w:val="false"/>
          <w:color w:val="231F20"/>
          <w:sz w:val="20"/>
        </w:rPr>
        <w:t>payable within twelve months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Critical Accounting Estimates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Annual Report on Form 10-K, we believe that the following accounting policies are critical to understanding our historical and future performance, as these policies relate to the more significant areas involving management’s judgments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83845"/>
                <wp:effectExtent l="0" t="0" r="0" b="0"/>
                <wp:wrapNone/>
                <wp:docPr id="160" name="Frame15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147</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Screening Revenue</w:t>
      </w:r>
    </w:p>
    <w:p>
      <w:pPr>
        <w:pStyle w:val="TextBody"/>
        <w:bidi w:val="0"/>
        <w:spacing w:lineRule="auto" w:line="288" w:before="240" w:after="283"/>
        <w:ind w:left="0" w:right="0" w:firstLine="450"/>
        <w:jc w:val="left"/>
        <w:rPr/>
      </w:pPr>
      <w:r>
        <w:rPr>
          <w:rFonts w:ascii="Arial;sans-serif" w:hAnsi="Arial;sans-serif"/>
          <w:b w:val="false"/>
          <w:color w:val="231F20"/>
          <w:sz w:val="20"/>
        </w:rPr>
        <w:t>Screening revenue includes cancer screening testing services provided to patients. Patients obtain tests via their healthcare systems, employers, digital health providers, payors, concierge medicine practices, or life insurance providers, or they can ord</w:t>
      </w:r>
      <w:r>
        <w:rPr>
          <w:rFonts w:ascii="Arial;sans-serif" w:hAnsi="Arial;sans-serif"/>
          <w:b w:val="false"/>
          <w:color w:val="000000"/>
          <w:sz w:val="20"/>
        </w:rPr>
        <w:t>er the test via telemedicine (collectively referred to as our direct customers). The test price is generally based on our list price, with discounts in certain channels, or, for certain customers, such as larger, higher-volume customers or international distributors, negotiated contractual rates.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Accrued Clinical Studies and Research and Development Expenses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in our consolidated balance sheets and within research and development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pStyle w:val="TextBody"/>
        <w:bidi w:val="0"/>
        <w:spacing w:lineRule="auto" w:line="288" w:before="240" w:after="283"/>
        <w:ind w:left="0" w:right="0" w:firstLine="450"/>
        <w:jc w:val="left"/>
        <w:rPr>
          <w:rFonts w:ascii="Arial;sans-serif" w:hAnsi="Arial;sans-serif"/>
          <w:b/>
          <w:i/>
          <w:color w:val="231F20"/>
          <w:sz w:val="20"/>
          <w:shd w:fill="FFFFFF" w:val="clear"/>
        </w:rPr>
      </w:pPr>
      <w:r>
        <w:rPr>
          <w:rFonts w:ascii="Arial;sans-serif" w:hAnsi="Arial;sans-serif"/>
          <w:b/>
          <w:i/>
          <w:color w:val="231F20"/>
          <w:sz w:val="20"/>
          <w:shd w:fill="FFFFFF" w:val="clear"/>
        </w:rPr>
        <w:t>Goodwill and Indefinite-Lived Intangible Assets Impairment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Goodwill represented the costs in excess of the fair value of net assets of GRAIL acquired by Illumina in August 2021. Indefinite-lived intangible assets consisted of GRAIL’s in-process research and development (“IPR&amp;D”) and were measured by Illumina at fair value as of the Closing Date.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test goodwill and indefinite-lived intangible assets for impairment annually or more frequently whenever events or changes in circumstances indicate that goodwill and indefinite-lived intangible assets may be impaired. Goodwill and indefinite-lived intangible assets are considered to be impaired when the carrying value of a reporting unit or asset exceeds its fair value. GRAIL currently has only one reporting unit; and therefore, we measure the carrying value against the fair value of the Company.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use qualitative factors to determine whether goodwill and indefinite-lived intangible assets are more likely than not impaired and whether a quantitative test for impairment is considered necessary. If we conclude from the qualitative assessment that goodwill and indefinite-lived intangible assets are more likely than not impaired, we are required to perform a quantitative assessment to determine the amount of impairment.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required to use judgment when applying the goodwill and indefinite-lived intangible assets impairment test. Changes in these estimates could materially affect our assessment of the fair value and goodwill and indefinite-lived intangible assets impairment. Significant estimates used in our impairment test include the determination of the weighted average cost of capital, revenue growth rates, long-term growth rates, and forecasted profitability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83845"/>
                <wp:effectExtent l="0" t="0" r="0" b="0"/>
                <wp:wrapNone/>
                <wp:docPr id="161" name="Frame15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148</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estimates and assumptions used in our assessment of indefinite-lived intangible assets represent a Level 3 measurement because they are supported by little or no market activity and reflect our own assumptions in measuring fair value.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We fully impaired goodwill as of December 31, 2024, resulting in no remaining carrying value. In addition, we fully impaired our IPR&amp;D assets during 2025, resulting in no remaining carrying value.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Our provision for income taxes, deferred tax assets and liabilities, and reserves for unrecognized tax benefits reflect our best assessment of estimated future taxes to be paid. Judgments and estimates based on interpretations of existing tax laws or regulations in the United States and foreign jurisdictions where we are subject to income tax are required in determining our provision for income taxes. Changes in tax laws, regulations, or statutory tax rates (including the implementation of global minimum tax rates in certain jurisdictions), and estimates of our future taxable income could impact the deferred tax assets and liabilities provided for in the consolidated financial statements and would require an adjustment to the provision for income taxes.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our ability to recover deferred tax assets within the jurisdiction which they arise, we consider all available positive and negative evidence.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recognize the impact of a tax position in our consolidated financial statements only if that position is more likely than not of being sustained upon examination by taxing authorities, based on the technical merits of the position. Due to the complexity of some of the uncertainties, the ultimate resolution may result in payments that are materially different from our current estimate of the tax liability. These differences, as well as any interest and penalties, will be reflected in the provision for income taxes in the period in which they are determined.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231F20"/>
          <w:sz w:val="20"/>
        </w:rPr>
      </w:pPr>
      <w:r>
        <w:rPr>
          <w:rFonts w:ascii="Arial;sans-serif" w:hAnsi="Arial;sans-serif"/>
          <w:b/>
          <w:color w:val="231F20"/>
          <w:sz w:val="20"/>
        </w:rPr>
        <w:t>JOBS Act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we will adopt new or revised accounting standards on the relevant dates on which adoption of such standards is required for other public companies.</w:t>
      </w:r>
    </w:p>
    <w:p>
      <w:pPr>
        <w:pStyle w:val="TextBody"/>
        <w:bidi w:val="0"/>
        <w:spacing w:lineRule="auto" w:line="26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We will remain an emerging growth company (“EGC”)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and are not smaller reporting company), or (iv) the last day of the fiscal year following the fifth anniversary of the date of the first sale of our common stock pursuant to an effective registration statement under the Securities Act. We expect to cease to be an EGC effective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231F20"/>
          <w:sz w:val="20"/>
        </w:rPr>
      </w:pPr>
      <w:r>
        <w:rPr>
          <w:rFonts w:ascii="Arial;sans-serif" w:hAnsi="Arial;sans-serif"/>
          <w:b/>
          <w:color w:val="231F20"/>
          <w:sz w:val="20"/>
        </w:rPr>
        <w:t>Recent Accounting Pronouncements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See </w:t>
      </w:r>
      <w:r>
        <w:rPr>
          <w:rFonts w:ascii="Arial;sans-serif" w:hAnsi="Arial;sans-serif"/>
          <w:b w:val="false"/>
          <w:i/>
          <w:color w:val="000000"/>
          <w:sz w:val="20"/>
        </w:rPr>
        <w:t>Note 2 — Summary Of Significant Accounting Policies</w:t>
      </w:r>
      <w:r>
        <w:rPr>
          <w:color w:val="231F20"/>
        </w:rPr>
        <w:t xml:space="preserve"> </w:t>
      </w:r>
      <w:r>
        <w:rPr>
          <w:rFonts w:ascii="Arial;sans-serif" w:hAnsi="Arial;sans-serif"/>
          <w:b w:val="false"/>
          <w:color w:val="000000"/>
          <w:sz w:val="20"/>
        </w:rPr>
        <w:t>in Item 8. Financial Statements of this Annual Report on Form 10-K for</w:t>
      </w:r>
      <w:r>
        <w:rPr>
          <w:color w:val="231F20"/>
        </w:rPr>
        <w:t xml:space="preserve"> </w:t>
      </w:r>
      <w:r>
        <w:rPr>
          <w:rFonts w:ascii="Arial;sans-serif" w:hAnsi="Arial;sans-serif"/>
          <w:b w:val="false"/>
          <w:color w:val="231F20"/>
          <w:sz w:val="20"/>
        </w:rPr>
        <w:t>details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83845"/>
                <wp:effectExtent l="0" t="0" r="0" b="0"/>
                <wp:wrapNone/>
                <wp:docPr id="162" name="Frame15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149</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Interest Rate Sensitivity</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We are exposed to market risk related to changes in interest rates related primarily to our cash, cash equivalents and marketable securities. We had cash and cash equivalents of </w:t>
      </w:r>
      <w:r>
        <w:rPr>
          <w:rFonts w:ascii="Arial;sans-serif" w:hAnsi="Arial;sans-serif"/>
          <w:b w:val="false"/>
          <w:color w:val="000000"/>
          <w:sz w:val="20"/>
        </w:rPr>
        <w:t>$249.7 million</w:t>
      </w:r>
      <w:r>
        <w:rPr>
          <w:color w:val="231F20"/>
        </w:rPr>
        <w:t xml:space="preserve"> </w:t>
      </w:r>
      <w:r>
        <w:rPr>
          <w:rFonts w:ascii="Arial;sans-serif" w:hAnsi="Arial;sans-serif"/>
          <w:b w:val="false"/>
          <w:color w:val="231F20"/>
          <w:sz w:val="20"/>
        </w:rPr>
        <w:t xml:space="preserve">as of December 31, 2025, which consisted primarily of bank deposits, money market funds and U.S. government treasury bills with an original maturity of three months or less. </w:t>
      </w:r>
      <w:r>
        <w:rPr>
          <w:rFonts w:ascii="Arial;sans-serif" w:hAnsi="Arial;sans-serif"/>
          <w:b w:val="false"/>
          <w:color w:val="000000"/>
          <w:sz w:val="20"/>
        </w:rPr>
        <w:t xml:space="preserve">As of </w:t>
      </w:r>
      <w:r>
        <w:rPr>
          <w:rFonts w:ascii="Arial;sans-serif" w:hAnsi="Arial;sans-serif"/>
          <w:b w:val="false"/>
          <w:color w:val="231F20"/>
          <w:sz w:val="20"/>
        </w:rPr>
        <w:t>December 31, 2025</w:t>
      </w:r>
      <w:r>
        <w:rPr>
          <w:rFonts w:ascii="Arial;sans-serif" w:hAnsi="Arial;sans-serif"/>
          <w:b w:val="false"/>
          <w:color w:val="000000"/>
          <w:sz w:val="20"/>
        </w:rPr>
        <w:t>, we had short-term marketable securities of $654.7 million. Our marketable securities are held in U.S. government treasury bills. Our primary exposure to market risk is interest income sensitivity, which is affected by changes in the general level of the interest rates in the United States. The primary objective of our investment activities is to preserve capital to fund our operations. We do not enter into investments for trading or speculative purposes.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Foreign Currency Sensitivity</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83845"/>
                <wp:effectExtent l="0" t="0" r="0" b="0"/>
                <wp:wrapNone/>
                <wp:docPr id="163" name="Frame15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150</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pPr>
      <w:r>
        <w:rPr>
          <w:rFonts w:ascii="Arial;sans-serif" w:hAnsi="Arial;sans-serif"/>
          <w:b/>
          <w:color w:val="231F20"/>
          <w:sz w:val="20"/>
        </w:rPr>
        <w:t>INDEX</w:t>
      </w:r>
      <w:r>
        <w:rPr>
          <w:color w:val="231F20"/>
        </w:rPr>
        <w:t xml:space="preserve"> </w:t>
      </w:r>
      <w:r>
        <w:rPr>
          <w:rFonts w:ascii="Arial;sans-serif" w:hAnsi="Arial;sans-serif"/>
          <w:b/>
          <w:color w:val="231F20"/>
          <w:sz w:val="20"/>
        </w:rPr>
        <w:t>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tbl>
      <w:tblPr>
        <w:tblW w:w="7171" w:type="dxa"/>
        <w:jc w:val="left"/>
        <w:tblInd w:w="0" w:type="dxa"/>
        <w:tblLayout w:type="fixed"/>
        <w:tblCellMar>
          <w:top w:w="28" w:type="dxa"/>
          <w:left w:w="28" w:type="dxa"/>
          <w:bottom w:w="28" w:type="dxa"/>
          <w:right w:w="28" w:type="dxa"/>
        </w:tblCellMar>
      </w:tblPr>
      <w:tblGrid>
        <w:gridCol w:w="2404"/>
        <w:gridCol w:w="2107"/>
        <w:gridCol w:w="2119"/>
        <w:gridCol w:w="158"/>
        <w:gridCol w:w="158"/>
        <w:gridCol w:w="225"/>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Page</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88">
              <w:r>
                <w:rPr>
                  <w:rStyle w:val="InternetLink"/>
                  <w:rFonts w:ascii="Arial;sans-serif" w:hAnsi="Arial;sans-serif"/>
                  <w:b w:val="false"/>
                  <w:strike w:val="false"/>
                  <w:dstrike w:val="false"/>
                  <w:color w:val="231F20"/>
                  <w:sz w:val="20"/>
                  <w:u w:val="none"/>
                  <w:effect w:val="none"/>
                </w:rPr>
                <w:t>Report</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of</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Independent</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Registered</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Public</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Accounting</w:t>
              </w:r>
            </w:hyperlink>
            <w:hyperlink w:anchor="ie35f2f8173af4762a088d6adec8de6cd_88">
              <w:r>
                <w:rPr>
                  <w:rStyle w:val="InternetLink"/>
                  <w:strike w:val="false"/>
                  <w:dstrike w:val="false"/>
                  <w:color w:val="231F20"/>
                  <w:u w:val="none"/>
                  <w:effect w:val="none"/>
                </w:rPr>
                <w:t xml:space="preserve"> </w:t>
              </w:r>
            </w:hyperlink>
            <w:hyperlink w:anchor="ie35f2f8173af4762a088d6adec8de6cd_88">
              <w:r>
                <w:rPr>
                  <w:rStyle w:val="InternetLink"/>
                  <w:rFonts w:ascii="Arial;sans-serif" w:hAnsi="Arial;sans-serif"/>
                  <w:b w:val="false"/>
                  <w:strike w:val="false"/>
                  <w:dstrike w:val="false"/>
                  <w:color w:val="231F20"/>
                  <w:sz w:val="20"/>
                  <w:u w:val="none"/>
                  <w:effect w:val="none"/>
                </w:rPr>
                <w:t>Firm</w:t>
              </w:r>
            </w:hyperlink>
            <w:r>
              <w:rPr>
                <w:rFonts w:ascii="Arial;sans-serif" w:hAnsi="Arial;sans-serif"/>
                <w:b w:val="false"/>
                <w:color w:val="231F20"/>
                <w:sz w:val="20"/>
              </w:rPr>
              <w:t xml:space="preserve"> (PCAOB ID: </w:t>
            </w:r>
            <w:r>
              <w:rPr>
                <w:rFonts w:ascii="Arial;sans-serif" w:hAnsi="Arial;sans-serif"/>
                <w:b w:val="false"/>
                <w:color w:val="000000"/>
                <w:sz w:val="20"/>
              </w:rPr>
              <w:t>42</w:t>
            </w:r>
            <w:r>
              <w:rPr>
                <w:rFonts w:ascii="Arial;sans-serif" w:hAnsi="Arial;sans-serif"/>
                <w:b w:val="false"/>
                <w:color w:val="231F20"/>
                <w:sz w:val="20"/>
              </w:rPr>
              <w:t xml:space="preserve">) </w:t>
            </w:r>
          </w:p>
        </w:tc>
        <w:tc>
          <w:tcPr>
            <w:tcW w:w="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240" w:after="283"/>
              <w:jc w:val="right"/>
              <w:rPr/>
            </w:pPr>
            <w:hyperlink w:anchor="ie35f2f8173af4762a088d6adec8de6cd_88">
              <w:r>
                <w:rPr>
                  <w:rStyle w:val="InternetLink"/>
                  <w:rFonts w:ascii="Arial;sans-serif" w:hAnsi="Arial;sans-serif"/>
                  <w:b w:val="false"/>
                  <w:strike w:val="false"/>
                  <w:dstrike w:val="false"/>
                  <w:color w:val="000000"/>
                  <w:sz w:val="20"/>
                  <w:u w:val="none"/>
                  <w:effect w:val="none"/>
                </w:rPr>
                <w:t>152</w:t>
              </w:r>
            </w:hyperlink>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20"/>
              </w:rPr>
            </w:pPr>
            <w:r>
              <w:rPr>
                <w:rFonts w:ascii="Arial;sans-serif" w:hAnsi="Arial;sans-serif"/>
                <w:b/>
                <w:color w:val="231F20"/>
                <w:sz w:val="20"/>
              </w:rPr>
              <w:t>Audited Consolidated Financial Statements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91">
              <w:r>
                <w:rPr>
                  <w:rStyle w:val="InternetLink"/>
                  <w:rFonts w:ascii="Arial;sans-serif" w:hAnsi="Arial;sans-serif"/>
                  <w:b w:val="false"/>
                  <w:strike w:val="false"/>
                  <w:dstrike w:val="false"/>
                  <w:color w:val="231F20"/>
                  <w:sz w:val="20"/>
                  <w:u w:val="none"/>
                  <w:effect w:val="non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91">
              <w:r>
                <w:rPr>
                  <w:rStyle w:val="InternetLink"/>
                  <w:rFonts w:ascii="Arial;sans-serif" w:hAnsi="Arial;sans-serif"/>
                  <w:b w:val="false"/>
                  <w:strike w:val="false"/>
                  <w:dstrike w:val="false"/>
                  <w:color w:val="000000"/>
                  <w:sz w:val="20"/>
                  <w:u w:val="none"/>
                  <w:effect w:val="none"/>
                </w:rPr>
                <w:t>153</w:t>
              </w:r>
            </w:hyperlink>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94">
              <w:r>
                <w:rPr>
                  <w:rStyle w:val="InternetLink"/>
                  <w:rFonts w:ascii="Arial;sans-serif" w:hAnsi="Arial;sans-serif"/>
                  <w:b w:val="false"/>
                  <w:strike w:val="false"/>
                  <w:dstrike w:val="false"/>
                  <w:color w:val="231F20"/>
                  <w:sz w:val="20"/>
                  <w:u w:val="none"/>
                  <w:effect w:val="none"/>
                </w:rPr>
                <w:t>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94">
              <w:r>
                <w:rPr>
                  <w:rStyle w:val="InternetLink"/>
                  <w:rFonts w:ascii="Arial;sans-serif" w:hAnsi="Arial;sans-serif"/>
                  <w:b w:val="false"/>
                  <w:strike w:val="false"/>
                  <w:dstrike w:val="false"/>
                  <w:color w:val="000000"/>
                  <w:sz w:val="20"/>
                  <w:u w:val="none"/>
                  <w:effect w:val="none"/>
                </w:rPr>
                <w:t>154</w:t>
              </w:r>
            </w:hyperlink>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97">
              <w:r>
                <w:rPr>
                  <w:rStyle w:val="InternetLink"/>
                  <w:rFonts w:ascii="Arial;sans-serif" w:hAnsi="Arial;sans-serif"/>
                  <w:b w:val="false"/>
                  <w:strike w:val="false"/>
                  <w:dstrike w:val="false"/>
                  <w:color w:val="231F20"/>
                  <w:sz w:val="20"/>
                  <w:u w:val="none"/>
                  <w:effect w:val="none"/>
                </w:rPr>
                <w:t>Consolidated Statements of Comprehensive Loss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97">
              <w:r>
                <w:rPr>
                  <w:rStyle w:val="InternetLink"/>
                  <w:rFonts w:ascii="Arial;sans-serif" w:hAnsi="Arial;sans-serif"/>
                  <w:b w:val="false"/>
                  <w:strike w:val="false"/>
                  <w:dstrike w:val="false"/>
                  <w:color w:val="000000"/>
                  <w:sz w:val="20"/>
                  <w:u w:val="none"/>
                  <w:effect w:val="none"/>
                </w:rPr>
                <w:t>155</w:t>
              </w:r>
            </w:hyperlink>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100">
              <w:r>
                <w:rPr>
                  <w:rStyle w:val="InternetLink"/>
                  <w:rFonts w:ascii="Arial;sans-serif" w:hAnsi="Arial;sans-serif"/>
                  <w:b w:val="false"/>
                  <w:strike w:val="false"/>
                  <w:dstrike w:val="false"/>
                  <w:color w:val="231F20"/>
                  <w:sz w:val="20"/>
                  <w:u w:val="none"/>
                  <w:effect w:val="none"/>
                </w:rPr>
                <w:t xml:space="preserve">Consolidated Statements of </w:t>
              </w:r>
            </w:hyperlink>
            <w:r>
              <w:rPr>
                <w:rFonts w:ascii="Arial;sans-serif" w:hAnsi="Arial;sans-serif"/>
                <w:b w:val="false"/>
                <w:color w:val="000000"/>
                <w:sz w:val="20"/>
              </w:rPr>
              <w:t>Stockholders’/ Member’s Equity</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100">
              <w:r>
                <w:rPr>
                  <w:rStyle w:val="InternetLink"/>
                  <w:rFonts w:ascii="Arial;sans-serif" w:hAnsi="Arial;sans-serif"/>
                  <w:b w:val="false"/>
                  <w:strike w:val="false"/>
                  <w:dstrike w:val="false"/>
                  <w:color w:val="000000"/>
                  <w:sz w:val="20"/>
                  <w:u w:val="none"/>
                  <w:effect w:val="none"/>
                </w:rPr>
                <w:t>156</w:t>
              </w:r>
            </w:hyperlink>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103">
              <w:r>
                <w:rPr>
                  <w:rStyle w:val="InternetLink"/>
                  <w:rFonts w:ascii="Arial;sans-serif" w:hAnsi="Arial;sans-serif"/>
                  <w:b w:val="false"/>
                  <w:strike w:val="false"/>
                  <w:dstrike w:val="false"/>
                  <w:color w:val="231F20"/>
                  <w:sz w:val="20"/>
                  <w:u w:val="none"/>
                  <w:effect w:val="non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103">
              <w:r>
                <w:rPr>
                  <w:rStyle w:val="InternetLink"/>
                  <w:rFonts w:ascii="Arial;sans-serif" w:hAnsi="Arial;sans-serif"/>
                  <w:b w:val="false"/>
                  <w:strike w:val="false"/>
                  <w:dstrike w:val="false"/>
                  <w:color w:val="000000"/>
                  <w:sz w:val="20"/>
                  <w:u w:val="none"/>
                  <w:effect w:val="none"/>
                </w:rPr>
                <w:t>157</w:t>
              </w:r>
            </w:hyperlink>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left"/>
              <w:rPr/>
            </w:pPr>
            <w:hyperlink w:anchor="ie35f2f8173af4762a088d6adec8de6cd_106">
              <w:r>
                <w:rPr>
                  <w:rStyle w:val="InternetLink"/>
                  <w:rFonts w:ascii="Arial;sans-serif" w:hAnsi="Arial;sans-serif"/>
                  <w:b w:val="false"/>
                  <w:strike w:val="false"/>
                  <w:dstrike w:val="false"/>
                  <w:color w:val="231F20"/>
                  <w:sz w:val="20"/>
                  <w:u w:val="none"/>
                  <w:effect w:val="non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right"/>
              <w:rPr/>
            </w:pPr>
            <w:hyperlink w:anchor="ie35f2f8173af4762a088d6adec8de6cd_106">
              <w:r>
                <w:rPr>
                  <w:rStyle w:val="InternetLink"/>
                  <w:rFonts w:ascii="Arial;sans-serif" w:hAnsi="Arial;sans-serif"/>
                  <w:b w:val="false"/>
                  <w:strike w:val="false"/>
                  <w:dstrike w:val="false"/>
                  <w:color w:val="000000"/>
                  <w:sz w:val="20"/>
                  <w:u w:val="none"/>
                  <w:effect w:val="none"/>
                </w:rPr>
                <w:t>158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83845"/>
                <wp:effectExtent l="0" t="0" r="0" b="0"/>
                <wp:wrapNone/>
                <wp:docPr id="164" name="Frame15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151</w:t>
                      </w:r>
                    </w:p>
                  </w:txbxContent>
                </v:textbox>
                <w10:wrap type="none"/>
              </v:rect>
            </w:pict>
          </mc:Fallback>
        </mc:AlternateContent>
      </w:r>
    </w:p>
    <w:p>
      <w:pPr>
        <w:pStyle w:val="TextBody"/>
        <w:bidi w:val="0"/>
        <w:spacing w:lineRule="auto" w:line="333" w:before="240" w:after="283"/>
        <w:jc w:val="both"/>
        <w:rPr/>
      </w:pPr>
      <w:hyperlink w:anchor="ie35f2f8173af4762a088d6adec8de6cd_7">
        <w:r>
          <w:rPr>
            <w:rStyle w:val="InternetLink"/>
            <w:rFonts w:ascii="Arial;sans-serif" w:hAnsi="Arial;sans-serif"/>
            <w:b w:val="false"/>
            <w:color w:val="0000FF"/>
            <w:sz w:val="18"/>
            <w:u w:val="single"/>
          </w:rPr>
          <w:t xml:space="preserve">Table of </w:t>
        </w:r>
      </w:hyperlink>
      <w:hyperlink w:anchor="ie35f2f8173af4762a088d6adec8de6cd_7">
        <w:r>
          <w:rPr>
            <w:rStyle w:val="InternetLink"/>
            <w:rFonts w:ascii="Arial;sans-serif" w:hAnsi="Arial;sans-serif"/>
            <w:b w:val="false"/>
            <w:color w:val="0000FF"/>
            <w:sz w:val="20"/>
            <w:u w:val="single"/>
          </w:rPr>
          <w:t>Contents</w:t>
        </w:r>
      </w:hyperlink>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360" w:after="283"/>
        <w:jc w:val="center"/>
        <w:rPr>
          <w:rFonts w:ascii="Arial;sans-serif" w:hAnsi="Arial;sans-serif"/>
          <w:b/>
          <w:color w:val="231F20"/>
          <w:sz w:val="20"/>
        </w:rPr>
      </w:pPr>
      <w:r>
        <w:rPr>
          <w:rFonts w:ascii="Arial;sans-serif" w:hAnsi="Arial;sans-serif"/>
          <w:b/>
          <w:color w:val="231F20"/>
          <w:sz w:val="20"/>
        </w:rPr>
        <w:t>Report of Independent Registered Public Accounting Firm</w:t>
      </w:r>
    </w:p>
    <w:p>
      <w:pPr>
        <w:pStyle w:val="TextBody"/>
        <w:bidi w:val="0"/>
        <w:spacing w:lineRule="auto" w:line="288" w:before="240" w:after="283"/>
        <w:jc w:val="left"/>
        <w:rPr/>
      </w:pPr>
      <w:r>
        <w:rPr>
          <w:rFonts w:ascii="Arial;sans-serif" w:hAnsi="Arial;sans-serif"/>
          <w:b w:val="false"/>
          <w:color w:val="231F20"/>
          <w:sz w:val="20"/>
        </w:rPr>
        <w:t>To the Stockholders and the Board of Directors</w:t>
      </w:r>
      <w:r>
        <w:rPr>
          <w:color w:val="231F20"/>
        </w:rPr>
        <w:t xml:space="preserve"> </w:t>
      </w:r>
      <w:r>
        <w:rPr>
          <w:rFonts w:ascii="Arial;sans-serif" w:hAnsi="Arial;sans-serif"/>
          <w:b w:val="false"/>
          <w:color w:val="231F20"/>
          <w:sz w:val="20"/>
        </w:rPr>
        <w:t>of GRAIL,</w:t>
      </w:r>
      <w:r>
        <w:rPr>
          <w:color w:val="231F20"/>
        </w:rPr>
        <w:t xml:space="preserve"> </w:t>
      </w:r>
      <w:r>
        <w:rPr>
          <w:rFonts w:ascii="Arial;sans-serif" w:hAnsi="Arial;sans-serif"/>
          <w:b w:val="false"/>
          <w:color w:val="231F20"/>
          <w:sz w:val="20"/>
        </w:rPr>
        <w:t>Inc.</w:t>
      </w:r>
    </w:p>
    <w:p>
      <w:pPr>
        <w:pStyle w:val="TextBody"/>
        <w:bidi w:val="0"/>
        <w:spacing w:lineRule="auto" w:line="288" w:before="360" w:after="283"/>
        <w:jc w:val="left"/>
        <w:rPr>
          <w:rFonts w:ascii="Arial;sans-serif" w:hAnsi="Arial;sans-serif"/>
          <w:b/>
          <w:color w:val="231F20"/>
          <w:sz w:val="20"/>
        </w:rPr>
      </w:pPr>
      <w:r>
        <w:rPr>
          <w:rFonts w:ascii="Arial;sans-serif" w:hAnsi="Arial;sans-serif"/>
          <w:b/>
          <w:color w:val="231F20"/>
          <w:sz w:val="20"/>
        </w:rPr>
        <w:t>Opinion on the Financial Statements</w:t>
      </w:r>
    </w:p>
    <w:p>
      <w:pPr>
        <w:pStyle w:val="TextBody"/>
        <w:bidi w:val="0"/>
        <w:spacing w:lineRule="auto" w:line="288" w:before="240" w:after="283"/>
        <w:ind w:left="0" w:right="0" w:firstLine="450"/>
        <w:jc w:val="left"/>
        <w:rPr>
          <w:rFonts w:ascii="Arial;sans-serif" w:hAnsi="Arial;sans-serif"/>
          <w:b w:val="false"/>
          <w:color w:val="333333"/>
          <w:sz w:val="20"/>
        </w:rPr>
      </w:pPr>
      <w:r>
        <w:rPr>
          <w:rFonts w:ascii="Arial;sans-serif" w:hAnsi="Arial;sans-serif"/>
          <w:b w:val="false"/>
          <w:color w:val="333333"/>
          <w:sz w:val="20"/>
        </w:rPr>
        <w:t>We have audited the accompanying consolidated balance sheets of GRAIL, Inc. (the Company) as of December 31, 2025 and 2024, the related consolidated statements of operations, comprehensive loss, stockholders’/member’s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360" w:after="283"/>
        <w:jc w:val="left"/>
        <w:rPr/>
      </w:pPr>
      <w:r>
        <w:rPr>
          <w:rFonts w:ascii="Arial;sans-serif" w:hAnsi="Arial;sans-serif"/>
          <w:b/>
          <w:color w:val="231F20"/>
          <w:sz w:val="20"/>
        </w:rPr>
        <w:t>Basis</w:t>
      </w:r>
      <w:r>
        <w:rPr>
          <w:color w:val="231F20"/>
        </w:rPr>
        <w:t xml:space="preserve"> </w:t>
      </w:r>
      <w:r>
        <w:rPr>
          <w:rFonts w:ascii="Arial;sans-serif" w:hAnsi="Arial;sans-serif"/>
          <w:b/>
          <w:color w:val="231F20"/>
          <w:sz w:val="20"/>
        </w:rPr>
        <w:t>for</w:t>
      </w:r>
      <w:r>
        <w:rPr>
          <w:color w:val="231F20"/>
        </w:rPr>
        <w:t xml:space="preserve"> </w:t>
      </w:r>
      <w:r>
        <w:rPr>
          <w:rFonts w:ascii="Arial;sans-serif" w:hAnsi="Arial;sans-serif"/>
          <w:b/>
          <w:color w:val="231F20"/>
          <w:sz w:val="20"/>
        </w:rPr>
        <w:t>Opinion</w:t>
      </w:r>
    </w:p>
    <w:p>
      <w:pPr>
        <w:pStyle w:val="TextBody"/>
        <w:bidi w:val="0"/>
        <w:spacing w:lineRule="auto" w:line="288" w:before="240" w:after="283"/>
        <w:ind w:left="0" w:right="0" w:firstLine="450"/>
        <w:jc w:val="left"/>
        <w:rPr>
          <w:rFonts w:ascii="Arial;sans-serif" w:hAnsi="Arial;sans-serif"/>
          <w:b w:val="false"/>
          <w:color w:val="333333"/>
          <w:sz w:val="20"/>
        </w:rPr>
      </w:pPr>
      <w:r>
        <w:rPr>
          <w:rFonts w:ascii="Arial;sans-serif" w:hAnsi="Arial;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ind w:left="0" w:right="0" w:firstLine="450"/>
        <w:jc w:val="left"/>
        <w:rPr>
          <w:rFonts w:ascii="Arial;sans-serif" w:hAnsi="Arial;sans-serif"/>
          <w:b w:val="false"/>
          <w:color w:val="333333"/>
          <w:sz w:val="20"/>
        </w:rPr>
      </w:pPr>
      <w:r>
        <w:rPr>
          <w:rFonts w:ascii="Arial;sans-serif" w:hAnsi="Arial;sans-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ind w:left="0" w:right="0" w:firstLine="450"/>
        <w:jc w:val="left"/>
        <w:rPr>
          <w:rFonts w:ascii="Arial;sans-serif" w:hAnsi="Arial;sans-serif"/>
          <w:b w:val="false"/>
          <w:color w:val="333333"/>
          <w:sz w:val="20"/>
        </w:rPr>
      </w:pPr>
      <w:r>
        <w:rPr>
          <w:rFonts w:ascii="Arial;sans-serif" w:hAnsi="Arial;sans-serif"/>
          <w:b w:val="false"/>
          <w:color w:val="333333"/>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left"/>
        <w:rPr/>
      </w:pPr>
      <w:r>
        <w:rPr>
          <w:rFonts w:ascii="Arial;sans-serif" w:hAnsi="Arial;sans-serif"/>
          <w:b w:val="false"/>
          <w:color w:val="231F20"/>
          <w:sz w:val="20"/>
        </w:rPr>
        <w:t>/s/</w:t>
      </w:r>
      <w:r>
        <w:rPr>
          <w:color w:val="231F20"/>
        </w:rPr>
        <w:t xml:space="preserve"> </w:t>
      </w:r>
      <w:r>
        <w:rPr>
          <w:rFonts w:ascii="Arial;sans-serif" w:hAnsi="Arial;sans-serif"/>
          <w:b w:val="false"/>
          <w:i/>
          <w:color w:val="231F20"/>
          <w:sz w:val="20"/>
        </w:rPr>
        <w:t>Ernst &amp; Young LLP</w:t>
      </w:r>
    </w:p>
    <w:p>
      <w:pPr>
        <w:pStyle w:val="TextBody"/>
        <w:bidi w:val="0"/>
        <w:spacing w:lineRule="auto" w:line="288" w:before="120" w:after="283"/>
        <w:jc w:val="left"/>
        <w:rPr/>
      </w:pPr>
      <w:r>
        <w:rPr>
          <w:rFonts w:ascii="Arial;sans-serif" w:hAnsi="Arial;sans-serif"/>
          <w:b w:val="false"/>
          <w:color w:val="231F20"/>
          <w:sz w:val="20"/>
        </w:rPr>
        <w:t>We</w:t>
      </w:r>
      <w:r>
        <w:rPr>
          <w:color w:val="231F20"/>
        </w:rPr>
        <w:t xml:space="preserve"> </w:t>
      </w:r>
      <w:r>
        <w:rPr>
          <w:rFonts w:ascii="Arial;sans-serif" w:hAnsi="Arial;sans-serif"/>
          <w:b w:val="false"/>
          <w:color w:val="231F20"/>
          <w:sz w:val="20"/>
        </w:rPr>
        <w:t>have</w:t>
      </w:r>
      <w:r>
        <w:rPr>
          <w:color w:val="231F20"/>
        </w:rPr>
        <w:t xml:space="preserve"> </w:t>
      </w:r>
      <w:r>
        <w:rPr>
          <w:rFonts w:ascii="Arial;sans-serif" w:hAnsi="Arial;sans-serif"/>
          <w:b w:val="false"/>
          <w:color w:val="231F20"/>
          <w:sz w:val="20"/>
        </w:rPr>
        <w:t>served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auditor</w:t>
      </w:r>
      <w:r>
        <w:rPr>
          <w:color w:val="231F20"/>
        </w:rPr>
        <w:t xml:space="preserve"> </w:t>
      </w:r>
      <w:r>
        <w:rPr>
          <w:rFonts w:ascii="Arial;sans-serif" w:hAnsi="Arial;sans-serif"/>
          <w:b w:val="false"/>
          <w:color w:val="231F20"/>
          <w:sz w:val="20"/>
        </w:rPr>
        <w:t>since</w:t>
      </w:r>
      <w:r>
        <w:rPr>
          <w:color w:val="231F20"/>
        </w:rPr>
        <w:t xml:space="preserve"> </w:t>
      </w:r>
      <w:r>
        <w:rPr>
          <w:rFonts w:ascii="Arial;sans-serif" w:hAnsi="Arial;sans-serif"/>
          <w:b w:val="false"/>
          <w:color w:val="231F20"/>
          <w:sz w:val="20"/>
        </w:rPr>
        <w:t>2023.</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San Mateo, California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83845"/>
                <wp:effectExtent l="0" t="0" r="0" b="0"/>
                <wp:wrapNone/>
                <wp:docPr id="165" name="Frame15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95"/>
        <w:gridCol w:w="2243"/>
        <w:gridCol w:w="2201"/>
        <w:gridCol w:w="211"/>
        <w:gridCol w:w="976"/>
        <w:gridCol w:w="109"/>
        <w:gridCol w:w="109"/>
        <w:gridCol w:w="109"/>
        <w:gridCol w:w="109"/>
        <w:gridCol w:w="211"/>
        <w:gridCol w:w="976"/>
        <w:gridCol w:w="156"/>
      </w:tblGrid>
      <w:tr>
        <w:trPr/>
        <w:tc>
          <w:tcPr>
            <w:tcW w:w="279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As of 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2024</w:t>
            </w:r>
          </w:p>
        </w:tc>
      </w:tr>
      <w:tr>
        <w:trPr/>
        <w:tc>
          <w:tcPr>
            <w:tcW w:w="7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214,234 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Short-term 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549,236 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Accounts receivable, net</w:t>
            </w:r>
            <w:r>
              <w:rPr>
                <w:rFonts w:ascii="Arial;sans-serif" w:hAnsi="Arial;sans-serif"/>
                <w:b w:val="false"/>
                <w:color w:val="231F2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Supplies</w:t>
            </w:r>
            <w:r>
              <w:rPr>
                <w:rFonts w:ascii="Arial;sans-serif" w:hAnsi="Arial;sans-serif"/>
                <w:b w:val="false"/>
                <w:color w:val="231F20"/>
                <w:sz w:val="12"/>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18,632 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Prepaid expenses and other current assets</w:t>
            </w:r>
            <w:r>
              <w:rPr>
                <w:rFonts w:ascii="Arial;sans-serif" w:hAnsi="Arial;sans-serif"/>
                <w:b w:val="false"/>
                <w:color w:val="231F2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953,849 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819,861 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Property and equipment, net</w:t>
            </w:r>
            <w:r>
              <w:rPr>
                <w:rFonts w:ascii="Arial;sans-serif" w:hAnsi="Arial;sans-serif"/>
                <w:b w:val="false"/>
                <w:color w:val="231F20"/>
                <w:sz w:val="12"/>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1,850,556 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2,016,890 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2,922,015 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2,983,307 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Accrued liabilities</w:t>
            </w:r>
            <w:r>
              <w:rPr>
                <w:rFonts w:ascii="Arial;sans-serif" w:hAnsi="Arial;sans-serif"/>
                <w:b w:val="false"/>
                <w:color w:val="231F20"/>
                <w:sz w:val="12"/>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57,241 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76,925 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345,860 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344,153 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479,902 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Commitments and contingencies (Note 10)</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Preferred stock, par value of $0.001 per share; 50,000,000 shares authorized, no shares issued and outstanding as of December 31, 2025 and December 31,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31F20"/>
                <w:sz w:val="18"/>
              </w:rPr>
            </w:pPr>
            <w:r>
              <w:rPr>
                <w:rFonts w:ascii="Arial;sans-serif" w:hAnsi="Arial;sans-serif"/>
                <w:b w:val="false"/>
                <w:color w:val="231F20"/>
                <w:sz w:val="18"/>
              </w:rPr>
              <w:t>Common stock $0.001 par value per share, 1,500,000,000 shares authorized, 40,331,360 and 33,893,409 shares issued and outstanding as of December 31, 2025 and December 31,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12,786,848 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12,305,250 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(10,211,681)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(9,803,330)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2,577,862 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2,503,405 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2,922,015 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2,983,307 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related party accounts receivable, net of nil and $65, respectively.</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related party supplies of nil and $3,130, respectively.</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related party prepaid expenses and other current assets of nil and $77, respectively.</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related party property and equipment, net of nil and $2,227, respectively.</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related party accrued liabilities of nil and $104, respectively.</w:t>
      </w:r>
    </w:p>
    <w:p>
      <w:pPr>
        <w:pStyle w:val="TextBody"/>
        <w:bidi w:val="0"/>
        <w:spacing w:lineRule="auto" w:line="288" w:before="120" w:after="283"/>
        <w:jc w:val="center"/>
        <w:rPr/>
      </w:pPr>
      <w:r>
        <w:rPr>
          <w:rFonts w:ascii="Arial;sans-serif" w:hAnsi="Arial;sans-serif"/>
          <w:b w:val="false"/>
          <w:color w:val="231F20"/>
          <w:sz w:val="20"/>
        </w:rPr>
        <w:t>See accompanying notes to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83845"/>
                <wp:effectExtent l="0" t="0" r="0" b="0"/>
                <wp:wrapNone/>
                <wp:docPr id="166" name="Frame15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per share data)</w:t>
      </w:r>
    </w:p>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2120"/>
        <w:gridCol w:w="1724"/>
        <w:gridCol w:w="1738"/>
        <w:gridCol w:w="211"/>
        <w:gridCol w:w="887"/>
        <w:gridCol w:w="109"/>
        <w:gridCol w:w="109"/>
        <w:gridCol w:w="109"/>
        <w:gridCol w:w="109"/>
        <w:gridCol w:w="211"/>
        <w:gridCol w:w="1037"/>
        <w:gridCol w:w="109"/>
        <w:gridCol w:w="109"/>
        <w:gridCol w:w="109"/>
        <w:gridCol w:w="109"/>
        <w:gridCol w:w="211"/>
        <w:gridCol w:w="1037"/>
        <w:gridCol w:w="157"/>
      </w:tblGrid>
      <w:tr>
        <w:trPr/>
        <w:tc>
          <w:tcPr>
            <w:tcW w:w="21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r>
      <w:tr>
        <w:trPr/>
        <w:tc>
          <w:tcPr>
            <w:tcW w:w="5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Screening revenue</w:t>
            </w:r>
            <w:r>
              <w:rPr>
                <w:rFonts w:ascii="Arial;sans-serif" w:hAnsi="Arial;sans-serif"/>
                <w:b w:val="false"/>
                <w:color w:val="231F2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74,999 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revenue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pPr>
            <w:r>
              <w:rPr>
                <w:rFonts w:ascii="Arial;sans-serif" w:hAnsi="Arial;sans-serif"/>
                <w:b w:val="false"/>
                <w:color w:val="231F20"/>
                <w:sz w:val="18"/>
              </w:rPr>
              <w:t>Cost of screening revenue (exclusive of amortization of intangible assets)</w:t>
            </w:r>
            <w:r>
              <w:rPr>
                <w:rFonts w:ascii="Arial;sans-serif" w:hAnsi="Arial;sans-serif"/>
                <w:b w:val="false"/>
                <w:color w:val="231F20"/>
                <w:sz w:val="12"/>
              </w:rPr>
              <w:t>(2)</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47,966 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pPr>
            <w:r>
              <w:rPr>
                <w:rFonts w:ascii="Arial;sans-serif" w:hAnsi="Arial;sans-serif"/>
                <w:b w:val="false"/>
                <w:color w:val="231F20"/>
                <w:sz w:val="18"/>
              </w:rPr>
              <w:t>Cost of development services revenue</w:t>
            </w:r>
            <w:r>
              <w:rPr>
                <w:rFonts w:ascii="Arial;sans-serif" w:hAnsi="Arial;sans-serif"/>
                <w:b w:val="false"/>
                <w:color w:val="231F20"/>
                <w:sz w:val="12"/>
              </w:rPr>
              <w:t>(3)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6,861 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Cost of revenue — amortization of intangible assets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pPr>
            <w:r>
              <w:rPr>
                <w:rFonts w:ascii="Arial;sans-serif" w:hAnsi="Arial;sans-serif"/>
                <w:b w:val="false"/>
                <w:color w:val="231F20"/>
                <w:sz w:val="18"/>
              </w:rPr>
              <w:t>Research and development</w:t>
            </w:r>
            <w:r>
              <w:rPr>
                <w:rFonts w:ascii="Arial;sans-serif" w:hAnsi="Arial;sans-serif"/>
                <w:b w:val="false"/>
                <w:color w:val="231F20"/>
                <w:sz w:val="12"/>
              </w:rPr>
              <w:t>(4)</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322,380 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338,745 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Sales and marketing</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pPr>
            <w:r>
              <w:rPr>
                <w:rFonts w:ascii="Arial;sans-serif" w:hAnsi="Arial;sans-serif"/>
                <w:b w:val="false"/>
                <w:color w:val="231F20"/>
                <w:sz w:val="18"/>
              </w:rPr>
              <w:t>General and administrative</w:t>
            </w:r>
            <w:r>
              <w:rPr>
                <w:rFonts w:ascii="Arial;sans-serif" w:hAnsi="Arial;sans-serif"/>
                <w:b w:val="false"/>
                <w:color w:val="231F20"/>
                <w:sz w:val="12"/>
              </w:rPr>
              <w:t>(5)</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200,268 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Goodwill and intangible assets impairment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1,420,936 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718,466 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709,335 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2,314,753 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1,608,487 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color w:val="231F20"/>
                <w:sz w:val="18"/>
              </w:rPr>
            </w:pPr>
            <w:r>
              <w:rPr>
                <w:rFonts w:ascii="Arial;sans-serif" w:hAnsi="Arial;sans-serif"/>
                <w:b/>
                <w:color w:val="231F20"/>
                <w:sz w:val="18"/>
              </w:rPr>
              <w:t>Loss from operations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(2,189,158)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(1,515,382)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Other income</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Interest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7,954 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other income, net</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27,659 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7,746 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Loss before income taxes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(534,504)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(2,162,361)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(1,507,636)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73"/>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41,951 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(408,351)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(2,027,005)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(1,465,685)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82"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44"/>
              <w:jc w:val="left"/>
              <w:rPr>
                <w:rFonts w:ascii="Arial;sans-serif" w:hAnsi="Arial;sans-serif"/>
                <w:b w:val="false"/>
                <w:color w:val="231F20"/>
                <w:sz w:val="18"/>
              </w:rPr>
            </w:pPr>
            <w:r>
              <w:rPr>
                <w:rFonts w:ascii="Arial;sans-serif" w:hAnsi="Arial;sans-serif"/>
                <w:b w:val="false"/>
                <w:color w:val="231F20"/>
                <w:sz w:val="18"/>
              </w:rPr>
              <w:t>Net loss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8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0"/>
              <w:jc w:val="left"/>
              <w:rPr>
                <w:rFonts w:ascii="Arial;sans-serif" w:hAnsi="Arial;sans-serif"/>
                <w:b w:val="false"/>
                <w:color w:val="231F20"/>
                <w:sz w:val="18"/>
              </w:rPr>
            </w:pPr>
            <w:r>
              <w:rPr>
                <w:rFonts w:ascii="Arial;sans-serif" w:hAnsi="Arial;sans-serif"/>
                <w:b w:val="false"/>
                <w:color w:val="231F20"/>
                <w:sz w:val="18"/>
              </w:rPr>
              <w:t>Weighted-average shares of common stock used in computing net loss per share:</w:t>
            </w:r>
          </w:p>
        </w:tc>
        <w:tc>
          <w:tcPr>
            <w:tcW w:w="12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36,753,751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31,901,259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31,049,148</w:t>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related party screening revenue of $208, $460 and $652, respectively.</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related party cost of screening revenue of $4,617, $13,091 and $8,532, respectively.</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related party cost of development services revenue of $275, $637 and $238, respectively.</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related party research and development expenses of $3,306, $18,843 and $19,508, respectively.</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related party general and administrative expenses of nil, $104 and $206, respectively.</w:t>
      </w:r>
    </w:p>
    <w:p>
      <w:pPr>
        <w:pStyle w:val="TextBody"/>
        <w:bidi w:val="0"/>
        <w:spacing w:lineRule="auto" w:line="288" w:before="240" w:after="283"/>
        <w:jc w:val="center"/>
        <w:rPr>
          <w:rFonts w:ascii="Arial;sans-serif" w:hAnsi="Arial;sans-serif"/>
          <w:b w:val="false"/>
          <w:color w:val="231F20"/>
          <w:sz w:val="20"/>
        </w:rPr>
      </w:pPr>
      <w:r>
        <w:rPr>
          <w:rFonts w:ascii="Arial;sans-serif" w:hAnsi="Arial;sans-serif"/>
          <w:b w:val="false"/>
          <w:color w:val="231F2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83845"/>
                <wp:effectExtent l="0" t="0" r="0" b="0"/>
                <wp:wrapNone/>
                <wp:docPr id="167" name="Frame15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CONSOLIDATED STATEMENTS</w:t>
      </w:r>
      <w:r>
        <w:rPr>
          <w:color w:val="231F20"/>
        </w:rPr>
        <w:t xml:space="preserve"> </w:t>
      </w:r>
      <w:r>
        <w:rPr>
          <w:rFonts w:ascii="Arial;sans-serif" w:hAnsi="Arial;sans-serif"/>
          <w:b/>
          <w:color w:val="231F20"/>
          <w:sz w:val="20"/>
        </w:rPr>
        <w:t>OF COMPREHENSIVE</w:t>
      </w:r>
      <w:r>
        <w:rPr>
          <w:color w:val="231F20"/>
        </w:rPr>
        <w:t xml:space="preserve"> </w:t>
      </w:r>
      <w:r>
        <w:rPr>
          <w:rFonts w:ascii="Arial;sans-serif" w:hAnsi="Arial;sans-serif"/>
          <w:b/>
          <w:color w:val="231F20"/>
          <w:sz w:val="20"/>
        </w:rPr>
        <w:t>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w:t>
      </w:r>
    </w:p>
    <w:p>
      <w:pPr>
        <w:pStyle w:val="TextBody"/>
        <w:bidi w:val="0"/>
        <w:spacing w:before="240" w:after="283"/>
        <w:jc w:val="center"/>
        <w:rPr/>
      </w:pPr>
      <w:r>
        <w:rPr/>
      </w:r>
    </w:p>
    <w:tbl>
      <w:tblPr>
        <w:tblW w:w="9251" w:type="dxa"/>
        <w:jc w:val="left"/>
        <w:tblInd w:w="0" w:type="dxa"/>
        <w:tblLayout w:type="fixed"/>
        <w:tblCellMar>
          <w:top w:w="28" w:type="dxa"/>
          <w:left w:w="28" w:type="dxa"/>
          <w:bottom w:w="28" w:type="dxa"/>
          <w:right w:w="28" w:type="dxa"/>
        </w:tblCellMar>
      </w:tblPr>
      <w:tblGrid>
        <w:gridCol w:w="1662"/>
        <w:gridCol w:w="1458"/>
        <w:gridCol w:w="1469"/>
        <w:gridCol w:w="211"/>
        <w:gridCol w:w="901"/>
        <w:gridCol w:w="109"/>
        <w:gridCol w:w="109"/>
        <w:gridCol w:w="109"/>
        <w:gridCol w:w="109"/>
        <w:gridCol w:w="211"/>
        <w:gridCol w:w="1051"/>
        <w:gridCol w:w="109"/>
        <w:gridCol w:w="109"/>
        <w:gridCol w:w="109"/>
        <w:gridCol w:w="109"/>
        <w:gridCol w:w="211"/>
        <w:gridCol w:w="1051"/>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(408,351)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(2,027,005)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(1,465,685)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comprehensive income: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Net unrealized gain on marketable securities, net of tax</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Foreign currency translation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(407,147)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(2,026,620)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(1,465,513)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Arial;sans-serif" w:hAnsi="Arial;sans-serif"/>
          <w:b w:val="false"/>
          <w:color w:val="231F20"/>
          <w:sz w:val="20"/>
        </w:rPr>
        <w:t>See accompanying notes to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83845"/>
                <wp:effectExtent l="0" t="0" r="0" b="0"/>
                <wp:wrapNone/>
                <wp:docPr id="168" name="Frame16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0" w:after="0"/>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CONSOLIDATED STATEMENTS</w:t>
      </w:r>
      <w:r>
        <w:rPr>
          <w:color w:val="231F20"/>
        </w:rPr>
        <w:t xml:space="preserve"> </w:t>
      </w:r>
      <w:r>
        <w:rPr>
          <w:rFonts w:ascii="Arial;sans-serif" w:hAnsi="Arial;sans-serif"/>
          <w:b/>
          <w:color w:val="231F20"/>
          <w:sz w:val="20"/>
        </w:rPr>
        <w:t>OF</w:t>
      </w:r>
      <w:r>
        <w:rPr>
          <w:color w:val="231F20"/>
        </w:rPr>
        <w:t xml:space="preserve"> </w:t>
      </w:r>
      <w:r>
        <w:rPr>
          <w:rFonts w:ascii="Adelle Sans;sans-serif" w:hAnsi="Adelle Sans;sans-serif"/>
          <w:b/>
          <w:color w:val="000000"/>
          <w:sz w:val="20"/>
        </w:rPr>
        <w:t>STOCKHOLDERS’/ MEMBER’S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data)</w:t>
      </w:r>
    </w:p>
    <w:tbl>
      <w:tblPr>
        <w:tblW w:w="11561" w:type="dxa"/>
        <w:jc w:val="center"/>
        <w:tblInd w:w="0" w:type="dxa"/>
        <w:tblLayout w:type="fixed"/>
        <w:tblCellMar>
          <w:top w:w="28" w:type="dxa"/>
          <w:left w:w="28" w:type="dxa"/>
          <w:bottom w:w="28" w:type="dxa"/>
          <w:right w:w="28" w:type="dxa"/>
        </w:tblCellMar>
      </w:tblPr>
      <w:tblGrid>
        <w:gridCol w:w="782"/>
        <w:gridCol w:w="239"/>
        <w:gridCol w:w="240"/>
        <w:gridCol w:w="480"/>
        <w:gridCol w:w="481"/>
        <w:gridCol w:w="216"/>
        <w:gridCol w:w="109"/>
        <w:gridCol w:w="109"/>
        <w:gridCol w:w="109"/>
        <w:gridCol w:w="207"/>
        <w:gridCol w:w="428"/>
        <w:gridCol w:w="116"/>
        <w:gridCol w:w="109"/>
        <w:gridCol w:w="109"/>
        <w:gridCol w:w="109"/>
        <w:gridCol w:w="196"/>
        <w:gridCol w:w="961"/>
        <w:gridCol w:w="109"/>
        <w:gridCol w:w="109"/>
        <w:gridCol w:w="109"/>
        <w:gridCol w:w="109"/>
        <w:gridCol w:w="196"/>
        <w:gridCol w:w="961"/>
        <w:gridCol w:w="109"/>
        <w:gridCol w:w="109"/>
        <w:gridCol w:w="109"/>
        <w:gridCol w:w="109"/>
        <w:gridCol w:w="307"/>
        <w:gridCol w:w="872"/>
        <w:gridCol w:w="172"/>
        <w:gridCol w:w="109"/>
        <w:gridCol w:w="109"/>
        <w:gridCol w:w="109"/>
        <w:gridCol w:w="196"/>
        <w:gridCol w:w="976"/>
        <w:gridCol w:w="109"/>
        <w:gridCol w:w="109"/>
        <w:gridCol w:w="109"/>
        <w:gridCol w:w="109"/>
        <w:gridCol w:w="200"/>
        <w:gridCol w:w="888"/>
        <w:gridCol w:w="158"/>
      </w:tblGrid>
      <w:tr>
        <w:trPr/>
        <w:tc>
          <w:tcPr>
            <w:tcW w:w="7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Member’s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Stockholders’/Member’s Equity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(6,310,640)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4,646,161 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(1,465,685)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(1,465,685)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Contribution from member,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463,766 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11,421,446 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(7,776,325)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3,646,187 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(2,027,005)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Contribution from member,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tax liability in connection with the Spin-Off*</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(447,190)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Reclassification of incentive plan liabilities to additional paid-in capital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Disposal funding received in connection with the Spin-Off*</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932,300 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the Spin-Off and reclassification of contribution from member,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31,049,148 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(12,218,882)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2,844,261 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December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33,893,409 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12,305,250 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(9,803,330)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2,503,405 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(408,351)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Other comprehensive income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2,491,212 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and pre-funded warrants in connection with the PIPE,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2,640,970 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the ATM program, net of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1,169,218 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as of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40,331,360 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12,786,848 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(10,211,681)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2,577,862 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*See </w:t>
      </w:r>
      <w:r>
        <w:rPr>
          <w:rFonts w:ascii="Arial;sans-serif" w:hAnsi="Arial;sans-serif"/>
          <w:b w:val="false"/>
          <w:i/>
          <w:color w:val="000000"/>
          <w:sz w:val="16"/>
        </w:rPr>
        <w:t>Note 1 — Organization And Description Of Business</w:t>
      </w:r>
      <w:r>
        <w:rPr>
          <w:color w:val="000000"/>
        </w:rPr>
        <w:t xml:space="preserve"> </w:t>
      </w:r>
      <w:r>
        <w:rPr>
          <w:rFonts w:ascii="Arial;sans-serif" w:hAnsi="Arial;sans-serif"/>
          <w:b w:val="false"/>
          <w:color w:val="000000"/>
          <w:sz w:val="16"/>
        </w:rPr>
        <w:t>for more information on the Spin-Off.</w:t>
      </w:r>
    </w:p>
    <w:p>
      <w:pPr>
        <w:pStyle w:val="TextBody"/>
        <w:bidi w:val="0"/>
        <w:spacing w:lineRule="auto" w:line="288" w:before="240" w:after="283"/>
        <w:jc w:val="center"/>
        <w:rPr/>
      </w:pPr>
      <w:r>
        <w:rPr>
          <w:rFonts w:ascii="Arial;sans-serif" w:hAnsi="Arial;sans-serif"/>
          <w:b w:val="false"/>
          <w:color w:val="231F20"/>
          <w:sz w:val="20"/>
        </w:rPr>
        <w:t>See accompanying notes to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83845"/>
                <wp:effectExtent l="0" t="0" r="0" b="0"/>
                <wp:wrapNone/>
                <wp:docPr id="169" name="Frame16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242"/>
        <w:gridCol w:w="1831"/>
        <w:gridCol w:w="1847"/>
        <w:gridCol w:w="201"/>
        <w:gridCol w:w="813"/>
        <w:gridCol w:w="112"/>
        <w:gridCol w:w="109"/>
        <w:gridCol w:w="109"/>
        <w:gridCol w:w="109"/>
        <w:gridCol w:w="196"/>
        <w:gridCol w:w="923"/>
        <w:gridCol w:w="109"/>
        <w:gridCol w:w="109"/>
        <w:gridCol w:w="109"/>
        <w:gridCol w:w="109"/>
        <w:gridCol w:w="196"/>
        <w:gridCol w:w="923"/>
        <w:gridCol w:w="158"/>
      </w:tblGrid>
      <w:tr>
        <w:trPr/>
        <w:tc>
          <w:tcPr>
            <w:tcW w:w="224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59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flows from operating activities</w:t>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Net loss</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(408,351)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(1,465,685)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Adjustments to reconcile net loss to net cash used by operating activities: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intangibles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138,333 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(126,153)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(38,153)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discount on marketable securities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and intangible assets impairment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Credit loss expense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payment for equity awards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(76,910)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Accounts receivable</w:t>
            </w:r>
            <w:r>
              <w:rPr>
                <w:rFonts w:ascii="Arial;sans-serif" w:hAnsi="Arial;sans-serif"/>
                <w:b w:val="false"/>
                <w:color w:val="000000"/>
                <w:sz w:val="10"/>
              </w:rPr>
              <w:t>(1)</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Supplies</w:t>
            </w:r>
            <w:r>
              <w:rPr>
                <w:rFonts w:ascii="Arial;sans-serif" w:hAnsi="Arial;sans-serif"/>
                <w:b w:val="false"/>
                <w:color w:val="000000"/>
                <w:sz w:val="10"/>
              </w:rPr>
              <w:t>(2)</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and liabilities,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Prepaid expenses and other assets</w:t>
            </w:r>
            <w:r>
              <w:rPr>
                <w:rFonts w:ascii="Arial;sans-serif" w:hAnsi="Arial;sans-serif"/>
                <w:b w:val="false"/>
                <w:color w:val="000000"/>
                <w:sz w:val="10"/>
              </w:rPr>
              <w:t>(3)</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Accounts payable</w:t>
            </w:r>
            <w:r>
              <w:rPr>
                <w:rFonts w:ascii="Arial;sans-serif" w:hAnsi="Arial;sans-serif"/>
                <w:b w:val="false"/>
                <w:color w:val="000000"/>
                <w:sz w:val="10"/>
              </w:rPr>
              <w:t>(4)</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Accrued and other liabilities</w:t>
            </w:r>
            <w:r>
              <w:rPr>
                <w:rFonts w:ascii="Arial;sans-serif" w:hAnsi="Arial;sans-serif"/>
                <w:b w:val="false"/>
                <w:color w:val="000000"/>
                <w:sz w:val="10"/>
              </w:rPr>
              <w:t>(5)</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used by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(299,007)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(595,800)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flows from investing activities</w:t>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Purchases of property and equipment</w:t>
            </w:r>
            <w:r>
              <w:rPr>
                <w:rFonts w:ascii="Arial;sans-serif" w:hAnsi="Arial;sans-serif"/>
                <w:b w:val="false"/>
                <w:color w:val="000000"/>
                <w:sz w:val="11"/>
              </w:rPr>
              <w:t>(6)</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(12,887)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Purchases of marketable securities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(1,308,340)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(545,803)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maturities of marketable securities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1,224,200 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Net cash used in investing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(85,049)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(551,011)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(12,887)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flows from financing activities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issuance of common stock and pre-funded warrants in connection with the PIPE, net of issuance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311,319 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Proceeds from issuance of common stock in connection with the ATM program, net of issuance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107,477 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Issuance of common stock under ESPP</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funding received from Illumina</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1,244,300 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464,000 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Net cash provided by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423,321 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1,244,300 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463,766 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Effect of exchange rate changes on cash, cash equivalents, and restricted cash</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increase (decrease) in cash, cash equivalents, and restricted cash</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39,118 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(144,616)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cash equivalents and restricted cash — 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217,583 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246,128 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Cash, cash equivalents and restricted cash — end of period</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256,701 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217,583 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101,512 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Represented by:</w:t>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249,727 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97,287 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Restricted cash</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6,974 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4,225 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Total</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256,701 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217,583 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101,512 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Supplemental cash flow information:</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Property and equipment included in accounts payable and accrued liabilities</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(1,326)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Operating cash flows from operating leases, net</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(17,174)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(19,272)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(18,733)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changes in related party accounts receivable of $(65), $15 and $133, respectively.</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changes in related party supplies of $(3,130), $2,725 and $(871), respectively.</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changes in related party prepaid and other current assets of $(77), $(36) and $27, respectively.</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changes in related party accounts payable of nil, $(168) and $(2,965), respectively.</w:t>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changes in related party accrued liabilities of $104, $9 and $91, respectively.</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Includes related party purchases of property and equipment of $(591), nil and $(2,644), respectively.</w:t>
      </w:r>
    </w:p>
    <w:p>
      <w:pPr>
        <w:pStyle w:val="TextBody"/>
        <w:bidi w:val="0"/>
        <w:spacing w:lineRule="auto" w:line="288" w:before="120" w:after="283"/>
        <w:ind w:left="0" w:right="0" w:firstLine="720"/>
        <w:jc w:val="center"/>
        <w:rPr/>
      </w:pPr>
      <w:r>
        <w:rPr>
          <w:rFonts w:ascii="Arial;sans-serif" w:hAnsi="Arial;sans-serif"/>
          <w:b w:val="false"/>
          <w:color w:val="231F20"/>
          <w:sz w:val="20"/>
        </w:rPr>
        <w:t>See accompanying notes to Consolidated financial statements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83845"/>
                <wp:effectExtent l="0" t="0" r="0" b="0"/>
                <wp:wrapNone/>
                <wp:docPr id="170" name="Frame16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231F20"/>
          <w:sz w:val="20"/>
        </w:rPr>
        <w:t>NOTE 1.</w:t>
      </w:r>
      <w:r>
        <w:rPr>
          <w:color w:val="231F20"/>
        </w:rPr>
        <w:t xml:space="preserve"> </w:t>
      </w:r>
      <w:r>
        <w:rPr>
          <w:rFonts w:ascii="Arial;sans-serif" w:hAnsi="Arial;sans-serif"/>
          <w:b/>
          <w:color w:val="000000"/>
          <w:sz w:val="20"/>
        </w:rPr>
        <w:t>ORGANIZATION AND DESCRIPTION OF BUSINESS</w:t>
      </w:r>
    </w:p>
    <w:p>
      <w:pPr>
        <w:pStyle w:val="TextBody"/>
        <w:bidi w:val="0"/>
        <w:spacing w:lineRule="auto" w:line="288" w:before="240" w:after="283"/>
        <w:ind w:left="0" w:right="0" w:firstLine="450"/>
        <w:jc w:val="left"/>
        <w:rPr/>
      </w:pPr>
      <w:r>
        <w:rPr>
          <w:rFonts w:ascii="Arial;sans-serif" w:hAnsi="Arial;sans-serif"/>
          <w:b w:val="false"/>
          <w:color w:val="000000"/>
          <w:sz w:val="20"/>
        </w:rPr>
        <w:t>GRAIL, Inc. (“GRAIL” or the “Company”),</w:t>
      </w:r>
      <w:r>
        <w:rPr>
          <w:color w:val="000000"/>
        </w:rPr>
        <w:t xml:space="preserve"> </w:t>
      </w:r>
      <w:r>
        <w:rPr>
          <w:rFonts w:ascii="Arial;sans-serif" w:hAnsi="Arial;sans-serif"/>
          <w:b w:val="false"/>
          <w:color w:val="000000"/>
          <w:sz w:val="20"/>
        </w:rPr>
        <w:t>headquartered</w:t>
      </w:r>
      <w:r>
        <w:rPr>
          <w:color w:val="000000"/>
        </w:rPr>
        <w:t xml:space="preserve"> </w:t>
      </w:r>
      <w:r>
        <w:rPr>
          <w:rFonts w:ascii="Arial;sans-serif" w:hAnsi="Arial;sans-serif"/>
          <w:b w:val="false"/>
          <w:color w:val="000000"/>
          <w:sz w:val="20"/>
        </w:rPr>
        <w:t>in Menlo Park, California, is an innovative</w:t>
      </w:r>
      <w:r>
        <w:rPr>
          <w:color w:val="000000"/>
        </w:rPr>
        <w:t xml:space="preserve"> </w:t>
      </w:r>
      <w:r>
        <w:rPr>
          <w:rFonts w:ascii="Arial;sans-serif" w:hAnsi="Arial;sans-serif"/>
          <w:b w:val="false"/>
          <w:color w:val="000000"/>
          <w:sz w:val="20"/>
        </w:rPr>
        <w:t>commercial-stage</w:t>
      </w:r>
      <w:r>
        <w:rPr>
          <w:color w:val="000000"/>
        </w:rPr>
        <w:t xml:space="preserve"> </w:t>
      </w:r>
      <w:r>
        <w:rPr>
          <w:rFonts w:ascii="Arial;sans-serif" w:hAnsi="Arial;sans-serif"/>
          <w:b w:val="false"/>
          <w:color w:val="000000"/>
          <w:sz w:val="20"/>
        </w:rPr>
        <w:t>healthcare</w:t>
      </w:r>
      <w:r>
        <w:rPr>
          <w:color w:val="000000"/>
        </w:rPr>
        <w:t xml:space="preserve"> </w:t>
      </w:r>
      <w:r>
        <w:rPr>
          <w:rFonts w:ascii="Arial;sans-serif" w:hAnsi="Arial;sans-serif"/>
          <w:b w:val="false"/>
          <w:color w:val="000000"/>
          <w:sz w:val="20"/>
        </w:rPr>
        <w:t>company focused</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shifting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paradigm</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early</w:t>
      </w:r>
      <w:r>
        <w:rPr>
          <w:color w:val="000000"/>
        </w:rPr>
        <w:t xml:space="preserve"> </w:t>
      </w:r>
      <w:r>
        <w:rPr>
          <w:rFonts w:ascii="Arial;sans-serif" w:hAnsi="Arial;sans-serif"/>
          <w:b w:val="false"/>
          <w:color w:val="000000"/>
          <w:sz w:val="20"/>
        </w:rPr>
        <w:t>cancer</w:t>
      </w:r>
      <w:r>
        <w:rPr>
          <w:color w:val="000000"/>
        </w:rPr>
        <w:t xml:space="preserve"> </w:t>
      </w:r>
      <w:r>
        <w:rPr>
          <w:rFonts w:ascii="Arial;sans-serif" w:hAnsi="Arial;sans-serif"/>
          <w:b w:val="false"/>
          <w:color w:val="000000"/>
          <w:sz w:val="20"/>
        </w:rPr>
        <w:t>detection.</w:t>
      </w:r>
      <w:r>
        <w:rPr>
          <w:color w:val="000000"/>
        </w:rPr>
        <w:t xml:space="preserve"> </w:t>
      </w:r>
      <w:r>
        <w:rPr>
          <w:rFonts w:ascii="Arial;sans-serif" w:hAnsi="Arial;sans-serif"/>
          <w:b w:val="false"/>
          <w:color w:val="000000"/>
          <w:sz w:val="20"/>
        </w:rPr>
        <w:t>The Company’s Galleri</w:t>
      </w:r>
      <w:r>
        <w:rPr>
          <w:color w:val="000000"/>
        </w:rPr>
        <w:t xml:space="preserve"> </w:t>
      </w:r>
      <w:r>
        <w:rPr>
          <w:rFonts w:ascii="Arial;sans-serif" w:hAnsi="Arial;sans-serif"/>
          <w:b w:val="false"/>
          <w:color w:val="000000"/>
          <w:sz w:val="20"/>
        </w:rPr>
        <w:t>blood</w:t>
      </w:r>
      <w:r>
        <w:rPr>
          <w:color w:val="000000"/>
        </w:rPr>
        <w:t xml:space="preserve"> </w:t>
      </w:r>
      <w:r>
        <w:rPr>
          <w:rFonts w:ascii="Arial;sans-serif" w:hAnsi="Arial;sans-serif"/>
          <w:b w:val="false"/>
          <w:color w:val="000000"/>
          <w:sz w:val="20"/>
        </w:rPr>
        <w:t>test is a commercially available screening test for early detection of multiple types of cancer. GRAIL’s common stock is listed under the ticker symbol “GRAL” on the Nasdaq Stock Exchange.</w:t>
      </w:r>
    </w:p>
    <w:p>
      <w:pPr>
        <w:pStyle w:val="TextBody"/>
        <w:bidi w:val="0"/>
        <w:spacing w:lineRule="auto" w:line="288" w:before="240" w:after="283"/>
        <w:ind w:left="0" w:right="0" w:firstLine="450"/>
        <w:jc w:val="left"/>
        <w:rPr/>
      </w:pPr>
      <w:r>
        <w:rPr>
          <w:rFonts w:ascii="Arial;sans-serif" w:hAnsi="Arial;sans-serif"/>
          <w:b w:val="false"/>
          <w:color w:val="000000"/>
          <w:sz w:val="20"/>
        </w:rPr>
        <w:t>GRAIL was previously acquired by Illumina, Inc. (”Illumina”) in August 2021 (the “Acquisition”), at which point it became a 100% owned subsidiary of Illumina, and held separate as a part of binding hold separate commitments implemented pursuant to orders issued by the European Commission. GRAIL separated from Illumina on June 24, 2024, as described below. GRAIL was a limited</w:t>
      </w:r>
      <w:r>
        <w:rPr>
          <w:color w:val="000000"/>
        </w:rPr>
        <w:t xml:space="preserve"> </w:t>
      </w:r>
      <w:r>
        <w:rPr>
          <w:rFonts w:ascii="Arial;sans-serif" w:hAnsi="Arial;sans-serif"/>
          <w:b w:val="false"/>
          <w:color w:val="000000"/>
          <w:sz w:val="20"/>
        </w:rPr>
        <w:t>liability</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(“LLC”) from August 19, 2021 to June 21, 2024 when it was converted into a corporation (the “Conversion”) in anticipation of such separation.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Separation from Illumina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June 24, 2024, (the “Distribution Date”), Illumina completed the previously announced spin-off of GRAIL (the “Spin-Off”). The Spin-Off was completed through a distribution of 85.5% of the Company’s outstanding common stock to the holders of record of Illumina’s common stock as of the close of business on June 13, 2024 (the “Distribution”), which resulted in the distribution of 31.0 million shares of common stock. As a result of the Distribution, the Company became an independent public entity. Illumina’s ownership of GRAIL reduced to 4,502,126 shares of common stock representing 14.5% ownership of the Company after the Spin-Off. Unless the context otherwise requires, references to the Company or GRAIL, refer to (i) GRAIL, LLC prior to the Conversion and (ii) GRAIL, Inc. and its subsidiaries following the Conversion.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connection with the Spin-Off, the Company entered into or adopted agreements that provide a framework for the relationship between the Company and Illumina, including, but not limited to the following:</w:t>
      </w:r>
    </w:p>
    <w:p>
      <w:pPr>
        <w:pStyle w:val="TextBody"/>
        <w:bidi w:val="0"/>
        <w:spacing w:lineRule="auto" w:line="288" w:before="240" w:after="120"/>
        <w:ind w:left="0" w:right="0" w:hanging="360"/>
        <w:jc w:val="left"/>
        <w:rPr/>
      </w:pPr>
      <w:r>
        <w:rPr>
          <w:color w:val="000000"/>
        </w:rPr>
        <w:t>•</w:t>
      </w:r>
      <w:r>
        <w:rPr>
          <w:rFonts w:ascii="Arial;sans-serif" w:hAnsi="Arial;sans-serif"/>
          <w:b w:val="false"/>
          <w:color w:val="000000"/>
          <w:sz w:val="20"/>
        </w:rPr>
        <w:t xml:space="preserve">Separation and Distribution Agreement — governed the terms and conditions of the Spin-Off and sets forth aspects of the Company’s and Illumina’s relationship following the Spin-Off. See </w:t>
      </w:r>
      <w:r>
        <w:rPr>
          <w:rFonts w:ascii="Arial;sans-serif" w:hAnsi="Arial;sans-serif"/>
          <w:b w:val="false"/>
          <w:i/>
          <w:color w:val="000000"/>
          <w:sz w:val="20"/>
        </w:rPr>
        <w:t>Note 11 — Legal And Regulatory Proceedings</w:t>
      </w:r>
      <w:r>
        <w:rPr>
          <w:color w:val="000000"/>
        </w:rPr>
        <w:t xml:space="preserve"> </w:t>
      </w:r>
      <w:r>
        <w:rPr>
          <w:rFonts w:ascii="Arial;sans-serif" w:hAnsi="Arial;sans-serif"/>
          <w:b w:val="false"/>
          <w:color w:val="000000"/>
          <w:sz w:val="20"/>
        </w:rPr>
        <w:t>for more information regarding the contingencies related to this agreement.</w:t>
      </w:r>
    </w:p>
    <w:p>
      <w:pPr>
        <w:pStyle w:val="TextBody"/>
        <w:bidi w:val="0"/>
        <w:spacing w:lineRule="auto" w:line="288" w:before="240" w:after="120"/>
        <w:ind w:left="0" w:right="0" w:hanging="360"/>
        <w:jc w:val="left"/>
        <w:rPr/>
      </w:pPr>
      <w:r>
        <w:rPr>
          <w:color w:val="000000"/>
        </w:rPr>
        <w:t>•</w:t>
      </w:r>
      <w:r>
        <w:rPr>
          <w:rFonts w:ascii="Arial;sans-serif" w:hAnsi="Arial;sans-serif"/>
          <w:b w:val="false"/>
          <w:color w:val="000000"/>
          <w:sz w:val="20"/>
        </w:rPr>
        <w:t xml:space="preserve">Tax Matters Agreement — governs the respective rights, responsibilities and obligations of Illumina and the Company after the Spin-Off with respect to all tax matters and includes restrictions to preserve the tax-free status of the Distribution. See </w:t>
      </w:r>
      <w:r>
        <w:rPr>
          <w:rFonts w:ascii="Arial;sans-serif" w:hAnsi="Arial;sans-serif"/>
          <w:b w:val="false"/>
          <w:i/>
          <w:color w:val="000000"/>
          <w:sz w:val="20"/>
        </w:rPr>
        <w:t>Note 14 — Taxes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Note 11 — Legal And Regulatory Proceedings</w:t>
      </w:r>
      <w:r>
        <w:rPr>
          <w:color w:val="000000"/>
        </w:rPr>
        <w:t xml:space="preserve"> </w:t>
      </w:r>
      <w:r>
        <w:rPr>
          <w:rFonts w:ascii="Arial;sans-serif" w:hAnsi="Arial;sans-serif"/>
          <w:b w:val="false"/>
          <w:color w:val="000000"/>
          <w:sz w:val="20"/>
        </w:rPr>
        <w:t>regarding income taxes and the contingencies related to this agreement.</w:t>
      </w:r>
    </w:p>
    <w:p>
      <w:pPr>
        <w:pStyle w:val="TextBody"/>
        <w:bidi w:val="0"/>
        <w:spacing w:lineRule="auto" w:line="288" w:before="240" w:after="120"/>
        <w:ind w:left="0" w:right="0" w:hanging="360"/>
        <w:jc w:val="left"/>
        <w:rPr/>
      </w:pPr>
      <w:r>
        <w:rPr>
          <w:color w:val="000000"/>
        </w:rPr>
        <w:t>•</w:t>
      </w:r>
      <w:r>
        <w:rPr>
          <w:rFonts w:ascii="Arial;sans-serif" w:hAnsi="Arial;sans-serif"/>
          <w:b w:val="false"/>
          <w:color w:val="000000"/>
          <w:sz w:val="20"/>
        </w:rPr>
        <w:t xml:space="preserve">Employee Matters Agreement — addresses employment, compensation, and benefits matters, including the allocation and treatment of assets and liabilities relating to employees and compensation and benefits plans and programs in which GRAIL employees participate, as well as the treatment of cash-based incentive awards in connection with the Spin-Off. See </w:t>
      </w:r>
      <w:r>
        <w:rPr>
          <w:rFonts w:ascii="Arial;sans-serif" w:hAnsi="Arial;sans-serif"/>
          <w:b w:val="false"/>
          <w:i/>
          <w:color w:val="000000"/>
          <w:sz w:val="20"/>
        </w:rPr>
        <w:t>Note 8 — Stock-Based Compensation</w:t>
      </w:r>
      <w:r>
        <w:rPr>
          <w:color w:val="000000"/>
        </w:rPr>
        <w:t xml:space="preserve"> </w:t>
      </w:r>
      <w:r>
        <w:rPr>
          <w:rFonts w:ascii="Arial;sans-serif" w:hAnsi="Arial;sans-serif"/>
          <w:b w:val="false"/>
          <w:color w:val="000000"/>
          <w:sz w:val="20"/>
        </w:rPr>
        <w:t>for further details regarding treatment of equity awards.</w:t>
      </w:r>
    </w:p>
    <w:p>
      <w:pPr>
        <w:pStyle w:val="TextBody"/>
        <w:bidi w:val="0"/>
        <w:spacing w:lineRule="auto" w:line="288" w:before="240" w:after="120"/>
        <w:ind w:left="0" w:right="0" w:hanging="360"/>
        <w:jc w:val="left"/>
        <w:rPr/>
      </w:pPr>
      <w:r>
        <w:rPr>
          <w:color w:val="000000"/>
        </w:rPr>
        <w:t>•</w:t>
      </w:r>
      <w:r>
        <w:rPr>
          <w:rFonts w:ascii="Arial;sans-serif" w:hAnsi="Arial;sans-serif"/>
          <w:b w:val="false"/>
          <w:color w:val="000000"/>
          <w:sz w:val="20"/>
        </w:rPr>
        <w:t>Stockholder and Registration Rights Agreement — governs the respective rights, responsibilities and obligations of Illumina and the Company after the Spin-Off with respect to Illumina’s continuing ownership of GRAIL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Supply and Commercialization Agreement Amendment — amends the Company’s supply and commercialization agreement with Illumina, which governs the ongoing supply and commercial relationship, including licensing, royalty payments and intellectual property between GRAIL and Illumina. See </w:t>
      </w:r>
      <w:r>
        <w:rPr>
          <w:rFonts w:ascii="Arial;sans-serif" w:hAnsi="Arial;sans-serif"/>
          <w:b w:val="false"/>
          <w:i/>
          <w:color w:val="000000"/>
          <w:sz w:val="20"/>
        </w:rPr>
        <w:t>Note 16 — Related Party Transactions</w:t>
      </w:r>
      <w:r>
        <w:rPr>
          <w:color w:val="000000"/>
        </w:rPr>
        <w:t xml:space="preserve"> </w:t>
      </w:r>
      <w:r>
        <w:rPr>
          <w:rFonts w:ascii="Arial;sans-serif" w:hAnsi="Arial;sans-serif"/>
          <w:b w:val="false"/>
          <w:color w:val="000000"/>
          <w:sz w:val="20"/>
        </w:rPr>
        <w:t>for more information regarding the royalty arrangements with Illumina.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83845"/>
                <wp:effectExtent l="0" t="0" r="0" b="0"/>
                <wp:wrapNone/>
                <wp:docPr id="171" name="Frame16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Illumina provided the Company with disposal funding (the “Disposal Funding”) in the amount of $932.3 million in accordance with the Separation and Distribution Agreement, which was subject to a clawback feature that lapsed on September 24, 2025. See </w:t>
      </w:r>
      <w:r>
        <w:rPr>
          <w:rFonts w:ascii="Arial;sans-serif" w:hAnsi="Arial;sans-serif"/>
          <w:b w:val="false"/>
          <w:i/>
          <w:color w:val="000000"/>
          <w:sz w:val="20"/>
        </w:rPr>
        <w:t>Note 11 — Legal And Regulatory Proceedings — Contingencies</w:t>
      </w:r>
      <w:r>
        <w:rPr>
          <w:color w:val="000000"/>
        </w:rPr>
        <w:t xml:space="preserve"> </w:t>
      </w:r>
      <w:r>
        <w:rPr>
          <w:rFonts w:ascii="Arial;sans-serif" w:hAnsi="Arial;sans-serif"/>
          <w:b w:val="false"/>
          <w:color w:val="000000"/>
          <w:sz w:val="20"/>
        </w:rPr>
        <w:t>for details.</w:t>
      </w:r>
    </w:p>
    <w:p>
      <w:pPr>
        <w:pStyle w:val="TextBody"/>
        <w:bidi w:val="0"/>
        <w:spacing w:lineRule="auto" w:line="288" w:before="240" w:after="283"/>
        <w:jc w:val="left"/>
        <w:rPr/>
      </w:pPr>
      <w:r>
        <w:rPr>
          <w:rFonts w:ascii="Arial;sans-serif" w:hAnsi="Arial;sans-serif"/>
          <w:b/>
          <w:i/>
          <w:color w:val="231F20"/>
          <w:sz w:val="20"/>
        </w:rPr>
        <w:t>Our Ability</w:t>
      </w:r>
      <w:r>
        <w:rPr>
          <w:color w:val="231F20"/>
        </w:rPr>
        <w:t xml:space="preserve"> </w:t>
      </w:r>
      <w:r>
        <w:rPr>
          <w:rFonts w:ascii="Arial;sans-serif" w:hAnsi="Arial;sans-serif"/>
          <w:b/>
          <w:i/>
          <w:color w:val="231F20"/>
          <w:sz w:val="20"/>
        </w:rPr>
        <w:t>to Continue as a Going Concern</w:t>
      </w:r>
    </w:p>
    <w:p>
      <w:pPr>
        <w:pStyle w:val="TextBody"/>
        <w:bidi w:val="0"/>
        <w:spacing w:lineRule="auto" w:line="288" w:before="240" w:after="283"/>
        <w:ind w:left="0" w:right="0" w:firstLine="450"/>
        <w:jc w:val="left"/>
        <w:rPr/>
      </w:pPr>
      <w:r>
        <w:rPr>
          <w:rFonts w:ascii="Arial;sans-serif" w:hAnsi="Arial;sans-serif"/>
          <w:b w:val="false"/>
          <w:color w:val="000000"/>
          <w:sz w:val="20"/>
        </w:rPr>
        <w:t>The accompanying</w:t>
      </w:r>
      <w:r>
        <w:rPr>
          <w:color w:val="000000"/>
        </w:rPr>
        <w:t xml:space="preserve"> </w:t>
      </w:r>
      <w:r>
        <w:rPr>
          <w:rFonts w:ascii="Arial;sans-serif" w:hAnsi="Arial;sans-serif"/>
          <w:b w:val="false"/>
          <w:color w:val="000000"/>
          <w:sz w:val="20"/>
        </w:rPr>
        <w:t>consolidated</w:t>
      </w:r>
      <w:r>
        <w:rPr>
          <w:color w:val="000000"/>
        </w:rPr>
        <w:t xml:space="preserve"> </w:t>
      </w:r>
      <w:r>
        <w:rPr>
          <w:rFonts w:ascii="Arial;sans-serif" w:hAnsi="Arial;sans-serif"/>
          <w:b w:val="false"/>
          <w:color w:val="000000"/>
          <w:sz w:val="20"/>
        </w:rPr>
        <w:t>financial</w:t>
      </w:r>
      <w:r>
        <w:rPr>
          <w:color w:val="000000"/>
        </w:rPr>
        <w:t xml:space="preserve"> </w:t>
      </w:r>
      <w:r>
        <w:rPr>
          <w:rFonts w:ascii="Arial;sans-serif" w:hAnsi="Arial;sans-serif"/>
          <w:b w:val="false"/>
          <w:color w:val="000000"/>
          <w:sz w:val="20"/>
        </w:rPr>
        <w:t>statements</w:t>
      </w:r>
      <w:r>
        <w:rPr>
          <w:color w:val="000000"/>
        </w:rPr>
        <w:t xml:space="preserve"> </w:t>
      </w:r>
      <w:r>
        <w:rPr>
          <w:rFonts w:ascii="Arial;sans-serif" w:hAnsi="Arial;sans-serif"/>
          <w:b w:val="false"/>
          <w:color w:val="000000"/>
          <w:sz w:val="20"/>
        </w:rPr>
        <w:t>have been prepared</w:t>
      </w:r>
      <w:r>
        <w:rPr>
          <w:color w:val="000000"/>
        </w:rPr>
        <w:t xml:space="preserve"> </w:t>
      </w:r>
      <w:r>
        <w:rPr>
          <w:rFonts w:ascii="Arial;sans-serif" w:hAnsi="Arial;sans-serif"/>
          <w:b w:val="false"/>
          <w:color w:val="000000"/>
          <w:sz w:val="20"/>
        </w:rPr>
        <w:t>on a going concern basis, which contemplates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realization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assets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satisfaction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liabilities</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normal</w:t>
      </w:r>
      <w:r>
        <w:rPr>
          <w:color w:val="000000"/>
        </w:rPr>
        <w:t xml:space="preserve"> </w:t>
      </w:r>
      <w:r>
        <w:rPr>
          <w:rFonts w:ascii="Arial;sans-serif" w:hAnsi="Arial;sans-serif"/>
          <w:b w:val="false"/>
          <w:color w:val="000000"/>
          <w:sz w:val="20"/>
        </w:rPr>
        <w:t>course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business.</w:t>
      </w:r>
      <w:r>
        <w:rPr>
          <w:color w:val="000000"/>
        </w:rPr>
        <w:t xml:space="preserve"> </w:t>
      </w:r>
      <w:r>
        <w:rPr>
          <w:rFonts w:ascii="Arial;sans-serif" w:hAnsi="Arial;sans-serif"/>
          <w:b w:val="false"/>
          <w:color w:val="000000"/>
          <w:sz w:val="20"/>
        </w:rPr>
        <w:t>The realization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assets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satisfaction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liabilities</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normal</w:t>
      </w:r>
      <w:r>
        <w:rPr>
          <w:color w:val="000000"/>
        </w:rPr>
        <w:t xml:space="preserve"> </w:t>
      </w:r>
      <w:r>
        <w:rPr>
          <w:rFonts w:ascii="Arial;sans-serif" w:hAnsi="Arial;sans-serif"/>
          <w:b w:val="false"/>
          <w:color w:val="000000"/>
          <w:sz w:val="20"/>
        </w:rPr>
        <w:t>course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business</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dependent</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among other</w:t>
      </w:r>
      <w:r>
        <w:rPr>
          <w:color w:val="000000"/>
        </w:rPr>
        <w:t xml:space="preserve"> </w:t>
      </w:r>
      <w:r>
        <w:rPr>
          <w:rFonts w:ascii="Arial;sans-serif" w:hAnsi="Arial;sans-serif"/>
          <w:b w:val="false"/>
          <w:color w:val="000000"/>
          <w:sz w:val="20"/>
        </w:rPr>
        <w:t>things,</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Company’s</w:t>
      </w:r>
      <w:r>
        <w:rPr>
          <w:color w:val="000000"/>
        </w:rPr>
        <w:t xml:space="preserve"> </w:t>
      </w:r>
      <w:r>
        <w:rPr>
          <w:rFonts w:ascii="Arial;sans-serif" w:hAnsi="Arial;sans-serif"/>
          <w:b w:val="false"/>
          <w:color w:val="000000"/>
          <w:sz w:val="20"/>
        </w:rPr>
        <w:t>ability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manage</w:t>
      </w:r>
      <w:r>
        <w:rPr>
          <w:color w:val="000000"/>
        </w:rPr>
        <w:t xml:space="preserve"> </w:t>
      </w:r>
      <w:r>
        <w:rPr>
          <w:rFonts w:ascii="Arial;sans-serif" w:hAnsi="Arial;sans-serif"/>
          <w:b w:val="false"/>
          <w:color w:val="000000"/>
          <w:sz w:val="20"/>
        </w:rPr>
        <w:t>its net</w:t>
      </w:r>
      <w:r>
        <w:rPr>
          <w:color w:val="000000"/>
        </w:rPr>
        <w:t xml:space="preserve"> </w:t>
      </w:r>
      <w:r>
        <w:rPr>
          <w:rFonts w:ascii="Arial;sans-serif" w:hAnsi="Arial;sans-serif"/>
          <w:b w:val="false"/>
          <w:color w:val="000000"/>
          <w:sz w:val="20"/>
        </w:rPr>
        <w:t>loss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become</w:t>
      </w:r>
      <w:r>
        <w:rPr>
          <w:color w:val="000000"/>
        </w:rPr>
        <w:t xml:space="preserve"> </w:t>
      </w:r>
      <w:r>
        <w:rPr>
          <w:rFonts w:ascii="Arial;sans-serif" w:hAnsi="Arial;sans-serif"/>
          <w:b w:val="false"/>
          <w:color w:val="000000"/>
          <w:sz w:val="20"/>
        </w:rPr>
        <w:t>profitable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operate</w:t>
      </w:r>
      <w:r>
        <w:rPr>
          <w:color w:val="000000"/>
        </w:rPr>
        <w:t xml:space="preserve"> </w:t>
      </w:r>
      <w:r>
        <w:rPr>
          <w:rFonts w:ascii="Arial;sans-serif" w:hAnsi="Arial;sans-serif"/>
          <w:b w:val="false"/>
          <w:color w:val="000000"/>
          <w:sz w:val="20"/>
        </w:rPr>
        <w:t>profitably,</w:t>
      </w:r>
      <w:r>
        <w:rPr>
          <w:color w:val="000000"/>
        </w:rPr>
        <w:t xml:space="preserve"> </w:t>
      </w:r>
      <w:r>
        <w:rPr>
          <w:rFonts w:ascii="Arial;sans-serif" w:hAnsi="Arial;sans-serif"/>
          <w:b w:val="false"/>
          <w:color w:val="000000"/>
          <w:sz w:val="20"/>
        </w:rPr>
        <w:t>to manage</w:t>
      </w:r>
      <w:r>
        <w:rPr>
          <w:color w:val="000000"/>
        </w:rPr>
        <w:t xml:space="preserve"> </w:t>
      </w:r>
      <w:r>
        <w:rPr>
          <w:rFonts w:ascii="Arial;sans-serif" w:hAnsi="Arial;sans-serif"/>
          <w:b w:val="false"/>
          <w:color w:val="000000"/>
          <w:sz w:val="20"/>
        </w:rPr>
        <w:t>the Company’s</w:t>
      </w:r>
      <w:r>
        <w:rPr>
          <w:color w:val="000000"/>
        </w:rPr>
        <w:t xml:space="preserve"> </w:t>
      </w:r>
      <w:r>
        <w:rPr>
          <w:rFonts w:ascii="Arial;sans-serif" w:hAnsi="Arial;sans-serif"/>
          <w:b w:val="false"/>
          <w:color w:val="000000"/>
          <w:sz w:val="20"/>
        </w:rPr>
        <w:t>negative</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flows</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operations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generate</w:t>
      </w:r>
      <w:r>
        <w:rPr>
          <w:color w:val="000000"/>
        </w:rPr>
        <w:t xml:space="preserve"> </w:t>
      </w:r>
      <w:r>
        <w:rPr>
          <w:rFonts w:ascii="Arial;sans-serif" w:hAnsi="Arial;sans-serif"/>
          <w:b w:val="false"/>
          <w:color w:val="000000"/>
          <w:sz w:val="20"/>
        </w:rPr>
        <w:t>positive</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flows</w:t>
      </w:r>
      <w:r>
        <w:rPr>
          <w:color w:val="000000"/>
        </w:rPr>
        <w:t xml:space="preserve"> </w:t>
      </w:r>
      <w:r>
        <w:rPr>
          <w:rFonts w:ascii="Arial;sans-serif" w:hAnsi="Arial;sans-serif"/>
          <w:b w:val="false"/>
          <w:color w:val="000000"/>
          <w:sz w:val="20"/>
        </w:rPr>
        <w:t>from</w:t>
      </w:r>
      <w:r>
        <w:rPr>
          <w:color w:val="000000"/>
        </w:rPr>
        <w:t xml:space="preserve"> </w:t>
      </w:r>
      <w:r>
        <w:rPr>
          <w:rFonts w:ascii="Arial;sans-serif" w:hAnsi="Arial;sans-serif"/>
          <w:b w:val="false"/>
          <w:color w:val="000000"/>
          <w:sz w:val="20"/>
        </w:rPr>
        <w:t>operations,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the Company’s ability</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obtain</w:t>
      </w:r>
      <w:r>
        <w:rPr>
          <w:color w:val="000000"/>
        </w:rPr>
        <w:t xml:space="preserve"> </w:t>
      </w:r>
      <w:r>
        <w:rPr>
          <w:rFonts w:ascii="Arial;sans-serif" w:hAnsi="Arial;sans-serif"/>
          <w:b w:val="false"/>
          <w:color w:val="000000"/>
          <w:sz w:val="20"/>
        </w:rPr>
        <w:t>financing</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support</w:t>
      </w:r>
      <w:r>
        <w:rPr>
          <w:color w:val="000000"/>
        </w:rPr>
        <w:t xml:space="preserve"> </w:t>
      </w:r>
      <w:r>
        <w:rPr>
          <w:rFonts w:ascii="Arial;sans-serif" w:hAnsi="Arial;sans-serif"/>
          <w:b w:val="false"/>
          <w:color w:val="000000"/>
          <w:sz w:val="20"/>
        </w:rPr>
        <w:t>working</w:t>
      </w:r>
      <w:r>
        <w:rPr>
          <w:color w:val="000000"/>
        </w:rPr>
        <w:t xml:space="preserve"> </w:t>
      </w:r>
      <w:r>
        <w:rPr>
          <w:rFonts w:ascii="Arial;sans-serif" w:hAnsi="Arial;sans-serif"/>
          <w:b w:val="false"/>
          <w:color w:val="000000"/>
          <w:sz w:val="20"/>
        </w:rPr>
        <w:t>capital</w:t>
      </w:r>
      <w:r>
        <w:rPr>
          <w:color w:val="000000"/>
        </w:rPr>
        <w:t xml:space="preserve"> </w:t>
      </w:r>
      <w:r>
        <w:rPr>
          <w:rFonts w:ascii="Arial;sans-serif" w:hAnsi="Arial;sans-serif"/>
          <w:b w:val="false"/>
          <w:color w:val="000000"/>
          <w:sz w:val="20"/>
        </w:rPr>
        <w:t xml:space="preserve">requirements. </w:t>
      </w:r>
      <w:r>
        <w:rPr>
          <w:rFonts w:ascii="Arial;sans-serif" w:hAnsi="Arial;sans-serif"/>
          <w:b w:val="false"/>
          <w:color w:val="231F20"/>
          <w:sz w:val="20"/>
        </w:rPr>
        <w:t xml:space="preserve">The Company had </w:t>
      </w:r>
      <w:r>
        <w:rPr>
          <w:rFonts w:ascii="Arial;sans-serif" w:hAnsi="Arial;sans-serif"/>
          <w:b w:val="false"/>
          <w:color w:val="000000"/>
          <w:sz w:val="20"/>
        </w:rPr>
        <w:t>$249.7 million</w:t>
      </w:r>
      <w:r>
        <w:rPr>
          <w:color w:val="231F20"/>
        </w:rPr>
        <w:t xml:space="preserve"> </w:t>
      </w:r>
      <w:r>
        <w:rPr>
          <w:rFonts w:ascii="Arial;sans-serif" w:hAnsi="Arial;sans-serif"/>
          <w:b w:val="false"/>
          <w:color w:val="231F20"/>
          <w:sz w:val="20"/>
        </w:rPr>
        <w:t>of cash and cash equivalents</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$654.7 million</w:t>
      </w:r>
      <w:r>
        <w:rPr>
          <w:color w:val="231F20"/>
        </w:rPr>
        <w:t xml:space="preserve"> </w:t>
      </w:r>
      <w:r>
        <w:rPr>
          <w:rFonts w:ascii="Arial;sans-serif" w:hAnsi="Arial;sans-serif"/>
          <w:b w:val="false"/>
          <w:color w:val="231F20"/>
          <w:sz w:val="20"/>
        </w:rPr>
        <w:t xml:space="preserve">of short-term marketable securities as of </w:t>
      </w:r>
      <w:r>
        <w:rPr>
          <w:rFonts w:ascii="Arial;sans-serif" w:hAnsi="Arial;sans-serif"/>
          <w:b w:val="false"/>
          <w:color w:val="000000"/>
          <w:sz w:val="20"/>
        </w:rPr>
        <w:t>December 31, 2025</w:t>
      </w:r>
      <w:r>
        <w:rPr>
          <w:rFonts w:ascii="Arial;sans-serif" w:hAnsi="Arial;sans-serif"/>
          <w:b w:val="false"/>
          <w:color w:val="231F20"/>
          <w:sz w:val="20"/>
        </w:rPr>
        <w:t>.</w:t>
      </w:r>
    </w:p>
    <w:p>
      <w:pPr>
        <w:pStyle w:val="TextBody"/>
        <w:bidi w:val="0"/>
        <w:spacing w:lineRule="auto" w:line="288" w:before="240" w:after="283"/>
        <w:ind w:left="0" w:right="0" w:firstLine="450"/>
        <w:jc w:val="left"/>
        <w:rPr/>
      </w:pPr>
      <w:r>
        <w:rPr>
          <w:rFonts w:ascii="Arial;sans-serif" w:hAnsi="Arial;sans-serif"/>
          <w:b w:val="false"/>
          <w:color w:val="000000"/>
          <w:sz w:val="20"/>
        </w:rPr>
        <w:t>The Company</w:t>
      </w:r>
      <w:r>
        <w:rPr>
          <w:color w:val="000000"/>
        </w:rPr>
        <w:t xml:space="preserve"> </w:t>
      </w:r>
      <w:r>
        <w:rPr>
          <w:rFonts w:ascii="Arial;sans-serif" w:hAnsi="Arial;sans-serif"/>
          <w:b w:val="false"/>
          <w:color w:val="000000"/>
          <w:sz w:val="20"/>
        </w:rPr>
        <w:t>believes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existing</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equivalents</w:t>
      </w:r>
      <w:r>
        <w:rPr>
          <w:color w:val="000000"/>
        </w:rPr>
        <w:t xml:space="preserve"> </w:t>
      </w:r>
      <w:r>
        <w:rPr>
          <w:rFonts w:ascii="Arial;sans-serif" w:hAnsi="Arial;sans-serif"/>
          <w:b w:val="false"/>
          <w:color w:val="000000"/>
          <w:sz w:val="20"/>
        </w:rPr>
        <w:t xml:space="preserve">and </w:t>
      </w:r>
      <w:r>
        <w:rPr>
          <w:rFonts w:ascii="Arial;sans-serif" w:hAnsi="Arial;sans-serif"/>
          <w:b w:val="false"/>
          <w:color w:val="231F20"/>
          <w:sz w:val="20"/>
        </w:rPr>
        <w:t xml:space="preserve">short-term marketable securities </w:t>
      </w:r>
      <w:r>
        <w:rPr>
          <w:rFonts w:ascii="Arial;sans-serif" w:hAnsi="Arial;sans-serif"/>
          <w:b w:val="false"/>
          <w:color w:val="000000"/>
          <w:sz w:val="20"/>
        </w:rPr>
        <w:t>will</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sufficient</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meet</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working</w:t>
      </w:r>
      <w:r>
        <w:rPr>
          <w:color w:val="000000"/>
        </w:rPr>
        <w:t xml:space="preserve"> </w:t>
      </w:r>
      <w:r>
        <w:rPr>
          <w:rFonts w:ascii="Arial;sans-serif" w:hAnsi="Arial;sans-serif"/>
          <w:b w:val="false"/>
          <w:color w:val="000000"/>
          <w:sz w:val="20"/>
        </w:rPr>
        <w:t>capital</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capital</w:t>
      </w:r>
      <w:r>
        <w:rPr>
          <w:color w:val="000000"/>
        </w:rPr>
        <w:t xml:space="preserve"> </w:t>
      </w:r>
      <w:r>
        <w:rPr>
          <w:rFonts w:ascii="Arial;sans-serif" w:hAnsi="Arial;sans-serif"/>
          <w:b w:val="false"/>
          <w:color w:val="000000"/>
          <w:sz w:val="20"/>
        </w:rPr>
        <w:t>expenditure</w:t>
      </w:r>
      <w:r>
        <w:rPr>
          <w:color w:val="000000"/>
        </w:rPr>
        <w:t xml:space="preserve"> </w:t>
      </w:r>
      <w:r>
        <w:rPr>
          <w:rFonts w:ascii="Arial;sans-serif" w:hAnsi="Arial;sans-serif"/>
          <w:b w:val="false"/>
          <w:color w:val="000000"/>
          <w:sz w:val="20"/>
        </w:rPr>
        <w:t>needs</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least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next</w:t>
      </w:r>
      <w:r>
        <w:rPr>
          <w:color w:val="000000"/>
        </w:rPr>
        <w:t xml:space="preserve"> </w:t>
      </w:r>
      <w:r>
        <w:rPr>
          <w:rFonts w:ascii="Arial;sans-serif" w:hAnsi="Arial;sans-serif"/>
          <w:b w:val="false"/>
          <w:color w:val="000000"/>
          <w:sz w:val="20"/>
        </w:rPr>
        <w:t>12 months,</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date</w:t>
      </w:r>
      <w:r>
        <w:rPr>
          <w:color w:val="000000"/>
        </w:rPr>
        <w:t xml:space="preserve"> </w:t>
      </w:r>
      <w:r>
        <w:rPr>
          <w:rFonts w:ascii="Arial;sans-serif" w:hAnsi="Arial;sans-serif"/>
          <w:b w:val="false"/>
          <w:color w:val="000000"/>
          <w:sz w:val="20"/>
        </w:rPr>
        <w:t>these</w:t>
      </w:r>
      <w:r>
        <w:rPr>
          <w:color w:val="000000"/>
        </w:rPr>
        <w:t xml:space="preserve"> </w:t>
      </w:r>
      <w:r>
        <w:rPr>
          <w:rFonts w:ascii="Arial;sans-serif" w:hAnsi="Arial;sans-serif"/>
          <w:b w:val="false"/>
          <w:color w:val="000000"/>
          <w:sz w:val="20"/>
        </w:rPr>
        <w:t>consolidated</w:t>
      </w:r>
      <w:r>
        <w:rPr>
          <w:color w:val="000000"/>
        </w:rPr>
        <w:t xml:space="preserve"> </w:t>
      </w:r>
      <w:r>
        <w:rPr>
          <w:rFonts w:ascii="Arial;sans-serif" w:hAnsi="Arial;sans-serif"/>
          <w:b w:val="false"/>
          <w:color w:val="000000"/>
          <w:sz w:val="20"/>
        </w:rPr>
        <w:t>financial</w:t>
      </w:r>
      <w:r>
        <w:rPr>
          <w:color w:val="000000"/>
        </w:rPr>
        <w:t xml:space="preserve"> </w:t>
      </w:r>
      <w:r>
        <w:rPr>
          <w:rFonts w:ascii="Arial;sans-serif" w:hAnsi="Arial;sans-serif"/>
          <w:b w:val="false"/>
          <w:color w:val="000000"/>
          <w:sz w:val="20"/>
        </w:rPr>
        <w:t>statements</w:t>
      </w:r>
      <w:r>
        <w:rPr>
          <w:color w:val="000000"/>
        </w:rPr>
        <w:t xml:space="preserve"> </w:t>
      </w:r>
      <w:r>
        <w:rPr>
          <w:rFonts w:ascii="Arial;sans-serif" w:hAnsi="Arial;sans-serif"/>
          <w:b w:val="false"/>
          <w:color w:val="000000"/>
          <w:sz w:val="20"/>
        </w:rPr>
        <w:t>were</w:t>
      </w:r>
      <w:r>
        <w:rPr>
          <w:color w:val="000000"/>
        </w:rPr>
        <w:t xml:space="preserve"> </w:t>
      </w:r>
      <w:r>
        <w:rPr>
          <w:rFonts w:ascii="Arial;sans-serif" w:hAnsi="Arial;sans-serif"/>
          <w:b w:val="false"/>
          <w:color w:val="000000"/>
          <w:sz w:val="20"/>
        </w:rPr>
        <w:t>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rPr>
        <w:t>NOTE 2.</w:t>
      </w:r>
      <w:r>
        <w:rPr>
          <w:color w:val="231F20"/>
        </w:rPr>
        <w:t xml:space="preserve"> </w:t>
      </w:r>
      <w:r>
        <w:rPr>
          <w:rFonts w:ascii="Arial;sans-serif" w:hAnsi="Arial;sans-serif"/>
          <w:b/>
          <w:color w:val="000000"/>
          <w:sz w:val="20"/>
        </w:rPr>
        <w:t>SUMMARY OF SIGNIFICANT ACCOUNTING POLICIES</w:t>
      </w:r>
    </w:p>
    <w:p>
      <w:pPr>
        <w:pStyle w:val="TextBody"/>
        <w:bidi w:val="0"/>
        <w:spacing w:lineRule="auto" w:line="288" w:before="240" w:after="283"/>
        <w:jc w:val="left"/>
        <w:rPr/>
      </w:pPr>
      <w:r>
        <w:rPr>
          <w:rFonts w:ascii="Arial;sans-serif" w:hAnsi="Arial;sans-serif"/>
          <w:b/>
          <w:i/>
          <w:color w:val="231F20"/>
          <w:sz w:val="20"/>
        </w:rPr>
        <w:t>Basis</w:t>
      </w:r>
      <w:r>
        <w:rPr>
          <w:color w:val="231F20"/>
        </w:rPr>
        <w:t xml:space="preserve"> </w:t>
      </w:r>
      <w:r>
        <w:rPr>
          <w:rFonts w:ascii="Arial;sans-serif" w:hAnsi="Arial;sans-serif"/>
          <w:b/>
          <w:i/>
          <w:color w:val="231F20"/>
          <w:sz w:val="20"/>
        </w:rPr>
        <w:t>of Presentation</w:t>
      </w:r>
      <w:r>
        <w:rPr>
          <w:color w:val="231F20"/>
        </w:rPr>
        <w:t xml:space="preserve"> </w:t>
      </w:r>
      <w:r>
        <w:rPr>
          <w:rFonts w:ascii="Arial;sans-serif" w:hAnsi="Arial;sans-serif"/>
          <w:b/>
          <w:i/>
          <w:color w:val="231F20"/>
          <w:sz w:val="20"/>
        </w:rPr>
        <w:t>and Principles</w:t>
      </w:r>
      <w:r>
        <w:rPr>
          <w:color w:val="231F20"/>
        </w:rPr>
        <w:t xml:space="preserve"> </w:t>
      </w:r>
      <w:r>
        <w:rPr>
          <w:rFonts w:ascii="Arial;sans-serif" w:hAnsi="Arial;sans-serif"/>
          <w:b/>
          <w:i/>
          <w:color w:val="231F20"/>
          <w:sz w:val="20"/>
        </w:rPr>
        <w:t>of Consolidation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After the Spin-Off, the Company became a standalone publicly-traded company, and the Company’s financial statements are presented on a consolidated basis.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Prior to the Spin-Off, the accompanying consolidated financial statements represented the historical operations of the standalone GRAIL legal entity and included purchase accounting adjustments and certain tax adjustments as if the Company filed a separate income tax return and was not included in Illumina’s consolidated return for the period of time the Company was owned by Illumina. All revenues and costs as well as assets and liabilities directly associated with the business activity of the Company were included in the consolidated financial statements. Certain assets and liabilities were reflected at fair value under the new basis of accounting established at the closing of the Acquisition. </w:t>
      </w:r>
      <w:r>
        <w:rPr>
          <w:rFonts w:ascii="Arial;sans-serif" w:hAnsi="Arial;sans-serif"/>
          <w:b w:val="false"/>
          <w:color w:val="231F20"/>
          <w:sz w:val="20"/>
        </w:rPr>
        <w:t>Management</w:t>
      </w:r>
      <w:r>
        <w:rPr>
          <w:color w:val="231F20"/>
        </w:rPr>
        <w:t xml:space="preserve"> </w:t>
      </w:r>
      <w:r>
        <w:rPr>
          <w:rFonts w:ascii="Arial;sans-serif" w:hAnsi="Arial;sans-serif"/>
          <w:b w:val="false"/>
          <w:color w:val="231F20"/>
          <w:sz w:val="20"/>
        </w:rPr>
        <w:t>considered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need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allocate</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shared</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parent,</w:t>
      </w:r>
      <w:r>
        <w:rPr>
          <w:color w:val="231F20"/>
        </w:rPr>
        <w:t xml:space="preserve"> </w:t>
      </w:r>
      <w:r>
        <w:rPr>
          <w:rFonts w:ascii="Arial;sans-serif" w:hAnsi="Arial;sans-serif"/>
          <w:b w:val="false"/>
          <w:color w:val="231F20"/>
          <w:sz w:val="20"/>
        </w:rPr>
        <w:t>Illumina,</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 accompanying</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However, since the</w:t>
      </w:r>
      <w:r>
        <w:rPr>
          <w:color w:val="231F20"/>
        </w:rPr>
        <w:t xml:space="preserve"> </w:t>
      </w:r>
      <w:r>
        <w:rPr>
          <w:rFonts w:ascii="Arial;sans-serif" w:hAnsi="Arial;sans-serif"/>
          <w:b w:val="false"/>
          <w:color w:val="231F20"/>
          <w:sz w:val="20"/>
        </w:rPr>
        <w:t>European</w:t>
      </w:r>
      <w:r>
        <w:rPr>
          <w:color w:val="231F20"/>
        </w:rPr>
        <w:t xml:space="preserve"> </w:t>
      </w:r>
      <w:r>
        <w:rPr>
          <w:rFonts w:ascii="Arial;sans-serif" w:hAnsi="Arial;sans-serif"/>
          <w:b w:val="false"/>
          <w:color w:val="231F20"/>
          <w:sz w:val="20"/>
        </w:rPr>
        <w:t>Commission</w:t>
      </w:r>
      <w:r>
        <w:rPr>
          <w:color w:val="231F20"/>
        </w:rPr>
        <w:t xml:space="preserve"> </w:t>
      </w:r>
      <w:r>
        <w:rPr>
          <w:rFonts w:ascii="Arial;sans-serif" w:hAnsi="Arial;sans-serif"/>
          <w:b w:val="false"/>
          <w:color w:val="231F20"/>
          <w:sz w:val="20"/>
        </w:rPr>
        <w:t>had adopted an order requiring</w:t>
      </w:r>
      <w:r>
        <w:rPr>
          <w:color w:val="231F20"/>
        </w:rPr>
        <w:t xml:space="preserve"> </w:t>
      </w:r>
      <w:r>
        <w:rPr>
          <w:rFonts w:ascii="Arial;sans-serif" w:hAnsi="Arial;sans-serif"/>
          <w:b w:val="false"/>
          <w:color w:val="231F20"/>
          <w:sz w:val="20"/>
        </w:rPr>
        <w:t>Illumina</w:t>
      </w:r>
      <w:r>
        <w:rPr>
          <w:color w:val="231F20"/>
        </w:rPr>
        <w:t xml:space="preserve"> </w:t>
      </w:r>
      <w:r>
        <w:rPr>
          <w:rFonts w:ascii="Arial;sans-serif" w:hAnsi="Arial;sans-serif"/>
          <w:b w:val="false"/>
          <w:color w:val="231F20"/>
          <w:sz w:val="20"/>
        </w:rPr>
        <w:t>and GRAIL</w:t>
      </w:r>
      <w:r>
        <w:rPr>
          <w:color w:val="231F20"/>
        </w:rPr>
        <w:t xml:space="preserve"> </w:t>
      </w:r>
      <w:r>
        <w:rPr>
          <w:rFonts w:ascii="Arial;sans-serif" w:hAnsi="Arial;sans-serif"/>
          <w:b w:val="false"/>
          <w:color w:val="231F20"/>
          <w:sz w:val="20"/>
        </w:rPr>
        <w:t>to be held and operated</w:t>
      </w:r>
      <w:r>
        <w:rPr>
          <w:color w:val="231F20"/>
        </w:rPr>
        <w:t xml:space="preserve"> </w:t>
      </w:r>
      <w:r>
        <w:rPr>
          <w:rFonts w:ascii="Arial;sans-serif" w:hAnsi="Arial;sans-serif"/>
          <w:b w:val="false"/>
          <w:color w:val="231F20"/>
          <w:sz w:val="20"/>
        </w:rPr>
        <w:t>as distinct</w:t>
      </w:r>
      <w:r>
        <w:rPr>
          <w:color w:val="231F20"/>
        </w:rPr>
        <w:t xml:space="preserve"> </w:t>
      </w:r>
      <w:r>
        <w:rPr>
          <w:rFonts w:ascii="Arial;sans-serif" w:hAnsi="Arial;sans-serif"/>
          <w:b w:val="false"/>
          <w:color w:val="231F20"/>
          <w:sz w:val="20"/>
        </w:rPr>
        <w:t>and separate</w:t>
      </w:r>
      <w:r>
        <w:rPr>
          <w:color w:val="231F20"/>
        </w:rPr>
        <w:t xml:space="preserve"> </w:t>
      </w:r>
      <w:r>
        <w:rPr>
          <w:rFonts w:ascii="Arial;sans-serif" w:hAnsi="Arial;sans-serif"/>
          <w:b w:val="false"/>
          <w:color w:val="231F20"/>
          <w:sz w:val="20"/>
        </w:rPr>
        <w:t>entities, no</w:t>
      </w:r>
      <w:r>
        <w:rPr>
          <w:color w:val="231F20"/>
        </w:rPr>
        <w:t xml:space="preserve"> </w:t>
      </w:r>
      <w:r>
        <w:rPr>
          <w:rFonts w:ascii="Arial;sans-serif" w:hAnsi="Arial;sans-serif"/>
          <w:b w:val="false"/>
          <w:color w:val="231F20"/>
          <w:sz w:val="20"/>
        </w:rPr>
        <w:t>material</w:t>
      </w:r>
      <w:r>
        <w:rPr>
          <w:color w:val="231F20"/>
        </w:rPr>
        <w:t xml:space="preserve"> </w:t>
      </w:r>
      <w:r>
        <w:rPr>
          <w:rFonts w:ascii="Arial;sans-serif" w:hAnsi="Arial;sans-serif"/>
          <w:b w:val="false"/>
          <w:color w:val="231F20"/>
          <w:sz w:val="20"/>
        </w:rPr>
        <w:t>allocations</w:t>
      </w:r>
      <w:r>
        <w:rPr>
          <w:color w:val="231F20"/>
        </w:rPr>
        <w:t xml:space="preserve"> </w:t>
      </w:r>
      <w:r>
        <w:rPr>
          <w:rFonts w:ascii="Arial;sans-serif" w:hAnsi="Arial;sans-serif"/>
          <w:b w:val="false"/>
          <w:color w:val="231F20"/>
          <w:sz w:val="20"/>
        </w:rPr>
        <w:t>were</w:t>
      </w:r>
      <w:r>
        <w:rPr>
          <w:color w:val="231F20"/>
        </w:rPr>
        <w:t xml:space="preserve"> </w:t>
      </w:r>
      <w:r>
        <w:rPr>
          <w:rFonts w:ascii="Arial;sans-serif" w:hAnsi="Arial;sans-serif"/>
          <w:b w:val="false"/>
          <w:color w:val="231F20"/>
          <w:sz w:val="20"/>
        </w:rPr>
        <w:t>required.</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financial statements for all periods presented, including the historical results of the Company prior to the Spin-Off, are referred to as “Consolidated Financial Statements” and have been prepared in accordance with generally accepted accounting principles in the United States (“U.S. GAAP”) </w:t>
      </w:r>
      <w:r>
        <w:rPr>
          <w:rFonts w:ascii="Arial;sans-serif" w:hAnsi="Arial;sans-serif"/>
          <w:b w:val="false"/>
          <w:color w:val="231F20"/>
          <w:sz w:val="20"/>
        </w:rPr>
        <w:t>and include the accounts</w:t>
      </w:r>
      <w:r>
        <w:rPr>
          <w:color w:val="231F20"/>
        </w:rPr>
        <w:t xml:space="preserve"> </w:t>
      </w:r>
      <w:r>
        <w:rPr>
          <w:rFonts w:ascii="Arial;sans-serif" w:hAnsi="Arial;sans-serif"/>
          <w:b w:val="false"/>
          <w:color w:val="231F20"/>
          <w:sz w:val="20"/>
        </w:rPr>
        <w:t>of the Company</w:t>
      </w:r>
      <w:r>
        <w:rPr>
          <w:color w:val="231F20"/>
        </w:rPr>
        <w:t xml:space="preserve"> </w:t>
      </w:r>
      <w:r>
        <w:rPr>
          <w:rFonts w:ascii="Arial;sans-serif" w:hAnsi="Arial;sans-serif"/>
          <w:b w:val="false"/>
          <w:color w:val="231F20"/>
          <w:sz w:val="20"/>
        </w:rPr>
        <w:t>and its wholly owned subsidiaries.</w:t>
      </w:r>
      <w:r>
        <w:rPr>
          <w:color w:val="231F20"/>
        </w:rPr>
        <w:t xml:space="preserve"> </w:t>
      </w:r>
      <w:r>
        <w:rPr>
          <w:rFonts w:ascii="Arial;sans-serif" w:hAnsi="Arial;sans-serif"/>
          <w:b w:val="false"/>
          <w:color w:val="231F20"/>
          <w:sz w:val="20"/>
        </w:rPr>
        <w:t>All intercompany</w:t>
      </w:r>
      <w:r>
        <w:rPr>
          <w:color w:val="231F20"/>
        </w:rPr>
        <w:t xml:space="preserve"> </w:t>
      </w:r>
      <w:r>
        <w:rPr>
          <w:rFonts w:ascii="Arial;sans-serif" w:hAnsi="Arial;sans-serif"/>
          <w:b w:val="false"/>
          <w:color w:val="231F20"/>
          <w:sz w:val="20"/>
        </w:rPr>
        <w:t>balances</w:t>
      </w:r>
      <w:r>
        <w:rPr>
          <w:color w:val="231F20"/>
        </w:rPr>
        <w:t xml:space="preserve"> </w:t>
      </w:r>
      <w:r>
        <w:rPr>
          <w:rFonts w:ascii="Arial;sans-serif" w:hAnsi="Arial;sans-serif"/>
          <w:b w:val="false"/>
          <w:color w:val="231F20"/>
          <w:sz w:val="20"/>
        </w:rPr>
        <w:t>have been eliminated</w:t>
      </w:r>
      <w:r>
        <w:rPr>
          <w:color w:val="231F20"/>
        </w:rPr>
        <w:t xml:space="preserve"> </w:t>
      </w:r>
      <w:r>
        <w:rPr>
          <w:rFonts w:ascii="Arial;sans-serif" w:hAnsi="Arial;sans-serif"/>
          <w:b w:val="false"/>
          <w:color w:val="231F20"/>
          <w:sz w:val="20"/>
        </w:rPr>
        <w:t xml:space="preserve">in consolidation. </w:t>
      </w:r>
      <w:r>
        <w:rPr>
          <w:rFonts w:ascii="Arial;sans-serif" w:hAnsi="Arial;sans-serif"/>
          <w:b w:val="false"/>
          <w:color w:val="000000"/>
          <w:sz w:val="20"/>
        </w:rPr>
        <w:t>The Company’s significant accounting policies are summarized below. </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Use of Estimates</w:t>
      </w:r>
    </w:p>
    <w:p>
      <w:pPr>
        <w:pStyle w:val="TextBody"/>
        <w:bidi w:val="0"/>
        <w:spacing w:lineRule="auto" w:line="288" w:before="240" w:after="283"/>
        <w:ind w:left="0" w:right="0" w:firstLine="450"/>
        <w:jc w:val="left"/>
        <w:rPr/>
      </w:pPr>
      <w:r>
        <w:rPr>
          <w:rFonts w:ascii="Arial;sans-serif" w:hAnsi="Arial;sans-serif"/>
          <w:b w:val="false"/>
          <w:color w:val="231F20"/>
          <w:sz w:val="20"/>
        </w:rPr>
        <w:t>The preparation</w:t>
      </w:r>
      <w:r>
        <w:rPr>
          <w:color w:val="231F20"/>
        </w:rPr>
        <w:t xml:space="preserve"> </w:t>
      </w:r>
      <w:r>
        <w:rPr>
          <w:rFonts w:ascii="Arial;sans-serif" w:hAnsi="Arial;sans-serif"/>
          <w:b w:val="false"/>
          <w:color w:val="231F20"/>
          <w:sz w:val="20"/>
        </w:rPr>
        <w:t>of the 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in accordance</w:t>
      </w:r>
      <w:r>
        <w:rPr>
          <w:color w:val="231F20"/>
        </w:rPr>
        <w:t xml:space="preserve"> </w:t>
      </w:r>
      <w:r>
        <w:rPr>
          <w:rFonts w:ascii="Arial;sans-serif" w:hAnsi="Arial;sans-serif"/>
          <w:b w:val="false"/>
          <w:color w:val="231F20"/>
          <w:sz w:val="20"/>
        </w:rPr>
        <w:t>with U.S. GAAP</w:t>
      </w:r>
      <w:r>
        <w:rPr>
          <w:color w:val="231F20"/>
        </w:rPr>
        <w:t xml:space="preserve"> </w:t>
      </w:r>
      <w:r>
        <w:rPr>
          <w:rFonts w:ascii="Arial;sans-serif" w:hAnsi="Arial;sans-serif"/>
          <w:b w:val="false"/>
          <w:color w:val="231F20"/>
          <w:sz w:val="20"/>
        </w:rPr>
        <w:t>requires management</w:t>
      </w:r>
      <w:r>
        <w:rPr>
          <w:color w:val="231F20"/>
        </w:rPr>
        <w:t xml:space="preserve"> </w:t>
      </w:r>
      <w:r>
        <w:rPr>
          <w:rFonts w:ascii="Arial;sans-serif" w:hAnsi="Arial;sans-serif"/>
          <w:b w:val="false"/>
          <w:color w:val="231F20"/>
          <w:sz w:val="20"/>
        </w:rPr>
        <w:t>to make</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and assumptions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affect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of assets</w:t>
      </w:r>
      <w:r>
        <w:rPr>
          <w:color w:val="231F20"/>
        </w:rPr>
        <w:t xml:space="preserve"> </w:t>
      </w:r>
      <w:r>
        <w:rPr>
          <w:rFonts w:ascii="Arial;sans-serif" w:hAnsi="Arial;sans-serif"/>
          <w:b w:val="false"/>
          <w:color w:val="231F20"/>
          <w:sz w:val="20"/>
        </w:rPr>
        <w:t>and liabilities,</w:t>
      </w:r>
      <w:r>
        <w:rPr>
          <w:color w:val="231F20"/>
        </w:rPr>
        <w:t xml:space="preserve"> </w:t>
      </w:r>
      <w:r>
        <w:rPr>
          <w:rFonts w:ascii="Arial;sans-serif" w:hAnsi="Arial;sans-serif"/>
          <w:b w:val="false"/>
          <w:color w:val="231F20"/>
          <w:sz w:val="20"/>
        </w:rPr>
        <w:t>disclosure</w:t>
      </w:r>
      <w:r>
        <w:rPr>
          <w:color w:val="231F20"/>
        </w:rPr>
        <w:t xml:space="preserve"> </w:t>
      </w:r>
      <w:r>
        <w:rPr>
          <w:rFonts w:ascii="Arial;sans-serif" w:hAnsi="Arial;sans-serif"/>
          <w:b w:val="false"/>
          <w:color w:val="231F20"/>
          <w:sz w:val="20"/>
        </w:rPr>
        <w:t>of contingent</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 liabilities,</w:t>
      </w:r>
      <w:r>
        <w:rPr>
          <w:color w:val="231F20"/>
        </w:rPr>
        <w:t xml:space="preserve"> </w:t>
      </w:r>
      <w:r>
        <w:rPr>
          <w:rFonts w:ascii="Arial;sans-serif" w:hAnsi="Arial;sans-serif"/>
          <w:b w:val="false"/>
          <w:color w:val="231F20"/>
          <w:sz w:val="20"/>
        </w:rPr>
        <w:t>and the reported</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of revenues</w:t>
      </w:r>
      <w:r>
        <w:rPr>
          <w:color w:val="231F20"/>
        </w:rPr>
        <w:t xml:space="preserve"> </w:t>
      </w:r>
      <w:r>
        <w:rPr>
          <w:rFonts w:ascii="Arial;sans-serif" w:hAnsi="Arial;sans-serif"/>
          <w:b w:val="false"/>
          <w:color w:val="231F20"/>
          <w:sz w:val="20"/>
        </w:rPr>
        <w:t>and expenses in the consolidated</w:t>
      </w:r>
      <w:r>
        <w:rPr>
          <w:color w:val="231F20"/>
        </w:rPr>
        <w:t xml:space="preserve"> </w:t>
      </w:r>
      <w:r>
        <w:rPr>
          <w:rFonts w:ascii="Arial;sans-serif" w:hAnsi="Arial;sans-serif"/>
          <w:b w:val="false"/>
          <w:color w:val="231F20"/>
          <w:sz w:val="20"/>
        </w:rPr>
        <w:t>financial statements</w:t>
      </w:r>
      <w:r>
        <w:rPr>
          <w:color w:val="231F20"/>
        </w:rPr>
        <w:t xml:space="preserve"> </w:t>
      </w:r>
      <w:r>
        <w:rPr>
          <w:rFonts w:ascii="Arial;sans-serif" w:hAnsi="Arial;sans-serif"/>
          <w:b w:val="false"/>
          <w:color w:val="231F20"/>
          <w:sz w:val="20"/>
        </w:rPr>
        <w:t>and accompanying</w:t>
      </w:r>
      <w:r>
        <w:rPr>
          <w:color w:val="231F20"/>
        </w:rPr>
        <w:t xml:space="preserve"> </w:t>
      </w:r>
      <w:r>
        <w:rPr>
          <w:rFonts w:ascii="Arial;sans-serif" w:hAnsi="Arial;sans-serif"/>
          <w:b w:val="false"/>
          <w:color w:val="231F20"/>
          <w:sz w:val="20"/>
        </w:rPr>
        <w:t>notes.</w:t>
      </w:r>
      <w:r>
        <w:rPr>
          <w:color w:val="231F20"/>
        </w:rPr>
        <w:t xml:space="preserve"> </w:t>
      </w:r>
      <w:r>
        <w:rPr>
          <w:rFonts w:ascii="Arial;sans-serif" w:hAnsi="Arial;sans-serif"/>
          <w:b w:val="false"/>
          <w:color w:val="231F20"/>
          <w:sz w:val="20"/>
        </w:rPr>
        <w:t>The Company bases</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on historical</w:t>
      </w:r>
      <w:r>
        <w:rPr>
          <w:color w:val="231F20"/>
        </w:rPr>
        <w:t xml:space="preserve"> </w:t>
      </w:r>
      <w:r>
        <w:rPr>
          <w:rFonts w:ascii="Arial;sans-serif" w:hAnsi="Arial;sans-serif"/>
          <w:b w:val="false"/>
          <w:color w:val="231F20"/>
          <w:sz w:val="20"/>
        </w:rPr>
        <w:t>experience</w:t>
      </w:r>
      <w:r>
        <w:rPr>
          <w:color w:val="231F20"/>
        </w:rPr>
        <w:t xml:space="preserve"> </w:t>
      </w:r>
      <w:r>
        <w:rPr>
          <w:rFonts w:ascii="Arial;sans-serif" w:hAnsi="Arial;sans-serif"/>
          <w:b w:val="false"/>
          <w:color w:val="231F20"/>
          <w:sz w:val="20"/>
        </w:rPr>
        <w:t>and other</w:t>
      </w:r>
      <w:r>
        <w:rPr>
          <w:color w:val="231F20"/>
        </w:rPr>
        <w:t xml:space="preserve"> </w:t>
      </w:r>
      <w:r>
        <w:rPr>
          <w:rFonts w:ascii="Arial;sans-serif" w:hAnsi="Arial;sans-serif"/>
          <w:b w:val="false"/>
          <w:color w:val="231F20"/>
          <w:sz w:val="20"/>
        </w:rPr>
        <w:t>market- specific</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relevant</w:t>
      </w:r>
      <w:r>
        <w:rPr>
          <w:color w:val="231F20"/>
        </w:rPr>
        <w:t xml:space="preserve"> </w:t>
      </w:r>
      <w:r>
        <w:rPr>
          <w:rFonts w:ascii="Arial;sans-serif" w:hAnsi="Arial;sans-serif"/>
          <w:b w:val="false"/>
          <w:color w:val="231F20"/>
          <w:sz w:val="20"/>
        </w:rPr>
        <w:t>assumptions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believes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reasonable</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circumstances.</w:t>
      </w:r>
      <w:r>
        <w:rPr>
          <w:color w:val="231F20"/>
        </w:rPr>
        <w:t xml:space="preserve"> </w:t>
      </w:r>
      <w:r>
        <w:rPr>
          <w:rFonts w:ascii="Arial;sans-serif" w:hAnsi="Arial;sans-serif"/>
          <w:b w:val="false"/>
          <w:color w:val="231F20"/>
          <w:sz w:val="20"/>
        </w:rPr>
        <w:t>On an</w:t>
      </w:r>
      <w:r>
        <w:rPr>
          <w:color w:val="231F20"/>
        </w:rPr>
        <w:t xml:space="preserve"> </w:t>
      </w:r>
      <w:r>
        <w:rPr>
          <w:rFonts w:ascii="Arial;sans-serif" w:hAnsi="Arial;sans-serif"/>
          <w:b w:val="false"/>
          <w:color w:val="231F20"/>
          <w:sz w:val="20"/>
        </w:rPr>
        <w:t>ongoing basis,</w:t>
      </w:r>
      <w:r>
        <w:rPr>
          <w:color w:val="231F20"/>
        </w:rPr>
        <w:t xml:space="preserve"> </w:t>
      </w:r>
      <w:r>
        <w:rPr>
          <w:rFonts w:ascii="Arial;sans-serif" w:hAnsi="Arial;sans-serif"/>
          <w:b w:val="false"/>
          <w:color w:val="231F20"/>
          <w:sz w:val="20"/>
        </w:rPr>
        <w:t>management</w:t>
      </w:r>
      <w:r>
        <w:rPr>
          <w:color w:val="231F20"/>
        </w:rPr>
        <w:t xml:space="preserve"> </w:t>
      </w:r>
      <w:r>
        <w:rPr>
          <w:rFonts w:ascii="Arial;sans-serif" w:hAnsi="Arial;sans-serif"/>
          <w:b w:val="false"/>
          <w:color w:val="231F20"/>
          <w:sz w:val="20"/>
        </w:rPr>
        <w:t>evaluates</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but</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limited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those</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estimation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variable consideration,</w:t>
      </w:r>
      <w:r>
        <w:rPr>
          <w:color w:val="231F20"/>
        </w:rPr>
        <w:t xml:space="preserve"> </w:t>
      </w:r>
      <w:r>
        <w:rPr>
          <w:rFonts w:ascii="Arial;sans-serif" w:hAnsi="Arial;sans-serif"/>
          <w:b w:val="false"/>
          <w:color w:val="231F20"/>
          <w:sz w:val="20"/>
        </w:rPr>
        <w:t>standalone</w:t>
      </w:r>
      <w:r>
        <w:rPr>
          <w:color w:val="231F20"/>
        </w:rPr>
        <w:t xml:space="preserve"> </w:t>
      </w:r>
      <w:r>
        <w:rPr>
          <w:rFonts w:ascii="Arial;sans-serif" w:hAnsi="Arial;sans-serif"/>
          <w:b w:val="false"/>
          <w:color w:val="231F20"/>
          <w:sz w:val="20"/>
        </w:rPr>
        <w:t>selling</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included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contracts</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multiple 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measure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progress</w:t>
      </w:r>
      <w:r>
        <w:rPr>
          <w:color w:val="231F20"/>
        </w:rPr>
        <w:t xml:space="preserve"> </w:t>
      </w:r>
      <w:r>
        <w:rPr>
          <w:rFonts w:ascii="Arial;sans-serif" w:hAnsi="Arial;sans-serif"/>
          <w:b w:val="false"/>
          <w:color w:val="231F20"/>
          <w:sz w:val="20"/>
        </w:rPr>
        <w:t>toward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completion</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satisfaction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obligations, accrued</w:t>
      </w:r>
      <w:r>
        <w:rPr>
          <w:color w:val="231F20"/>
        </w:rPr>
        <w:t xml:space="preserve"> </w:t>
      </w:r>
      <w:r>
        <w:rPr>
          <w:rFonts w:ascii="Arial;sans-serif" w:hAnsi="Arial;sans-serif"/>
          <w:b w:val="false"/>
          <w:color w:val="231F20"/>
          <w:sz w:val="20"/>
        </w:rPr>
        <w:t>clinical</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and research</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stock-based</w:t>
      </w:r>
      <w:r>
        <w:rPr>
          <w:color w:val="231F20"/>
        </w:rPr>
        <w:t xml:space="preserve"> </w:t>
      </w:r>
      <w:r>
        <w:rPr>
          <w:rFonts w:ascii="Arial;sans-serif" w:hAnsi="Arial;sans-serif"/>
          <w:b w:val="false"/>
          <w:color w:val="231F20"/>
          <w:sz w:val="20"/>
        </w:rPr>
        <w:t>compensation</w:t>
      </w:r>
      <w:r>
        <w:rPr>
          <w:color w:val="231F20"/>
        </w:rPr>
        <w:t xml:space="preserve"> </w:t>
      </w:r>
      <w:r>
        <w:rPr>
          <w:rFonts w:ascii="Arial;sans-serif" w:hAnsi="Arial;sans-serif"/>
          <w:b w:val="false"/>
          <w:color w:val="231F20"/>
          <w:sz w:val="20"/>
        </w:rPr>
        <w:t>expense, measurement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83845"/>
                <wp:effectExtent l="0" t="0" r="0" b="0"/>
                <wp:wrapNone/>
                <wp:docPr id="172" name="Frame16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159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231F20"/>
          <w:sz w:val="20"/>
        </w:rPr>
        <w:t>classified</w:t>
      </w:r>
      <w:r>
        <w:rPr>
          <w:color w:val="231F20"/>
        </w:rPr>
        <w:t xml:space="preserve"> </w:t>
      </w:r>
      <w:r>
        <w:rPr>
          <w:rFonts w:ascii="Arial;sans-serif" w:hAnsi="Arial;sans-serif"/>
          <w:b w:val="false"/>
          <w:color w:val="231F20"/>
          <w:sz w:val="20"/>
        </w:rPr>
        <w:t>awards,</w:t>
      </w:r>
      <w:r>
        <w:rPr>
          <w:color w:val="231F20"/>
        </w:rPr>
        <w:t xml:space="preserve"> </w:t>
      </w:r>
      <w:r>
        <w:rPr>
          <w:rFonts w:ascii="Arial;sans-serif" w:hAnsi="Arial;sans-serif"/>
          <w:b w:val="false"/>
          <w:color w:val="231F20"/>
          <w:sz w:val="20"/>
        </w:rPr>
        <w:t>valuation</w:t>
      </w:r>
      <w:r>
        <w:rPr>
          <w:color w:val="231F20"/>
        </w:rPr>
        <w:t xml:space="preserve"> </w:t>
      </w:r>
      <w:r>
        <w:rPr>
          <w:rFonts w:ascii="Arial;sans-serif" w:hAnsi="Arial;sans-serif"/>
          <w:b w:val="false"/>
          <w:color w:val="231F20"/>
          <w:sz w:val="20"/>
        </w:rPr>
        <w:t>of intangible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useful</w:t>
      </w:r>
      <w:r>
        <w:rPr>
          <w:color w:val="231F20"/>
        </w:rPr>
        <w:t xml:space="preserve"> </w:t>
      </w:r>
      <w:r>
        <w:rPr>
          <w:rFonts w:ascii="Arial;sans-serif" w:hAnsi="Arial;sans-serif"/>
          <w:b w:val="false"/>
          <w:color w:val="231F20"/>
          <w:sz w:val="20"/>
        </w:rPr>
        <w:t>lives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intangible 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equipment,</w:t>
      </w:r>
      <w:r>
        <w:rPr>
          <w:color w:val="231F20"/>
        </w:rPr>
        <w:t xml:space="preserve"> </w:t>
      </w:r>
      <w:r>
        <w:rPr>
          <w:rFonts w:ascii="Arial;sans-serif" w:hAnsi="Arial;sans-serif"/>
          <w:b w:val="false"/>
          <w:color w:val="231F20"/>
          <w:sz w:val="20"/>
        </w:rPr>
        <w:t>determination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incremental</w:t>
      </w:r>
      <w:r>
        <w:rPr>
          <w:color w:val="231F20"/>
        </w:rPr>
        <w:t xml:space="preserve"> </w:t>
      </w:r>
      <w:r>
        <w:rPr>
          <w:rFonts w:ascii="Arial;sans-serif" w:hAnsi="Arial;sans-serif"/>
          <w:b w:val="false"/>
          <w:color w:val="231F20"/>
          <w:sz w:val="20"/>
        </w:rPr>
        <w:t>borrowing</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 contingencies,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provision</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income</w:t>
      </w:r>
      <w:r>
        <w:rPr>
          <w:color w:val="231F20"/>
        </w:rPr>
        <w:t xml:space="preserve"> </w:t>
      </w:r>
      <w:r>
        <w:rPr>
          <w:rFonts w:ascii="Arial;sans-serif" w:hAnsi="Arial;sans-serif"/>
          <w:b w:val="false"/>
          <w:color w:val="231F20"/>
          <w:sz w:val="20"/>
        </w:rPr>
        <w:t>taxes, among</w:t>
      </w:r>
      <w:r>
        <w:rPr>
          <w:color w:val="231F20"/>
        </w:rPr>
        <w:t xml:space="preserve"> </w:t>
      </w:r>
      <w:r>
        <w:rPr>
          <w:rFonts w:ascii="Arial;sans-serif" w:hAnsi="Arial;sans-serif"/>
          <w:b w:val="false"/>
          <w:color w:val="231F20"/>
          <w:sz w:val="20"/>
        </w:rPr>
        <w:t>others.</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involve</w:t>
      </w:r>
      <w:r>
        <w:rPr>
          <w:color w:val="231F20"/>
        </w:rPr>
        <w:t xml:space="preserve"> </w:t>
      </w:r>
      <w:r>
        <w:rPr>
          <w:rFonts w:ascii="Arial;sans-serif" w:hAnsi="Arial;sans-serif"/>
          <w:b w:val="false"/>
          <w:color w:val="231F20"/>
          <w:sz w:val="20"/>
        </w:rPr>
        <w:t>complex issues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require</w:t>
      </w:r>
      <w:r>
        <w:rPr>
          <w:color w:val="231F20"/>
        </w:rPr>
        <w:t xml:space="preserve"> </w:t>
      </w:r>
      <w:r>
        <w:rPr>
          <w:rFonts w:ascii="Arial;sans-serif" w:hAnsi="Arial;sans-serif"/>
          <w:b w:val="false"/>
          <w:color w:val="231F20"/>
          <w:sz w:val="20"/>
        </w:rPr>
        <w:t>judgments,</w:t>
      </w:r>
      <w:r>
        <w:rPr>
          <w:color w:val="231F20"/>
        </w:rPr>
        <w:t xml:space="preserve"> </w:t>
      </w:r>
      <w:r>
        <w:rPr>
          <w:rFonts w:ascii="Arial;sans-serif" w:hAnsi="Arial;sans-serif"/>
          <w:b w:val="false"/>
          <w:color w:val="231F20"/>
          <w:sz w:val="20"/>
        </w:rPr>
        <w:t>involve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analysis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historical</w:t>
      </w:r>
      <w:r>
        <w:rPr>
          <w:color w:val="231F20"/>
        </w:rPr>
        <w:t xml:space="preserve"> </w:t>
      </w:r>
      <w:r>
        <w:rPr>
          <w:rFonts w:ascii="Arial;sans-serif" w:hAnsi="Arial;sans-serif"/>
          <w:b w:val="false"/>
          <w:color w:val="231F20"/>
          <w:sz w:val="20"/>
        </w:rPr>
        <w:t>results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prediction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trends,</w:t>
      </w:r>
      <w:r>
        <w:rPr>
          <w:color w:val="231F20"/>
        </w:rPr>
        <w:t xml:space="preserve"> </w:t>
      </w:r>
      <w:r>
        <w:rPr>
          <w:rFonts w:ascii="Arial;sans-serif" w:hAnsi="Arial;sans-serif"/>
          <w:b w:val="false"/>
          <w:color w:val="231F20"/>
          <w:sz w:val="20"/>
        </w:rPr>
        <w:t>can</w:t>
      </w:r>
      <w:r>
        <w:rPr>
          <w:color w:val="231F20"/>
        </w:rPr>
        <w:t xml:space="preserve"> </w:t>
      </w:r>
      <w:r>
        <w:rPr>
          <w:rFonts w:ascii="Arial;sans-serif" w:hAnsi="Arial;sans-serif"/>
          <w:b w:val="false"/>
          <w:color w:val="231F20"/>
          <w:sz w:val="20"/>
        </w:rPr>
        <w:t>require extended</w:t>
      </w:r>
      <w:r>
        <w:rPr>
          <w:color w:val="231F20"/>
        </w:rPr>
        <w:t xml:space="preserve"> </w:t>
      </w:r>
      <w:r>
        <w:rPr>
          <w:rFonts w:ascii="Arial;sans-serif" w:hAnsi="Arial;sans-serif"/>
          <w:b w:val="false"/>
          <w:color w:val="231F20"/>
          <w:sz w:val="20"/>
        </w:rPr>
        <w:t>periods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time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resolve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subject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change</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Actual</w:t>
      </w:r>
      <w:r>
        <w:rPr>
          <w:color w:val="231F20"/>
        </w:rPr>
        <w:t xml:space="preserve"> </w:t>
      </w:r>
      <w:r>
        <w:rPr>
          <w:rFonts w:ascii="Arial;sans-serif" w:hAnsi="Arial;sans-serif"/>
          <w:b w:val="false"/>
          <w:color w:val="231F20"/>
          <w:sz w:val="20"/>
        </w:rPr>
        <w:t>results</w:t>
      </w:r>
      <w:r>
        <w:rPr>
          <w:color w:val="231F20"/>
        </w:rPr>
        <w:t xml:space="preserve"> </w:t>
      </w:r>
      <w:r>
        <w:rPr>
          <w:rFonts w:ascii="Arial;sans-serif" w:hAnsi="Arial;sans-serif"/>
          <w:b w:val="false"/>
          <w:color w:val="231F20"/>
          <w:sz w:val="20"/>
        </w:rPr>
        <w:t>could</w:t>
      </w:r>
      <w:r>
        <w:rPr>
          <w:color w:val="231F20"/>
        </w:rPr>
        <w:t xml:space="preserve"> </w:t>
      </w:r>
      <w:r>
        <w:rPr>
          <w:rFonts w:ascii="Arial;sans-serif" w:hAnsi="Arial;sans-serif"/>
          <w:b w:val="false"/>
          <w:color w:val="231F20"/>
          <w:sz w:val="20"/>
        </w:rPr>
        <w:t>differ from</w:t>
      </w:r>
      <w:r>
        <w:rPr>
          <w:color w:val="231F20"/>
        </w:rPr>
        <w:t xml:space="preserve"> </w:t>
      </w:r>
      <w:r>
        <w:rPr>
          <w:rFonts w:ascii="Arial;sans-serif" w:hAnsi="Arial;sans-serif"/>
          <w:b w:val="false"/>
          <w:color w:val="231F20"/>
          <w:sz w:val="20"/>
        </w:rPr>
        <w:t>those</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and such differences</w:t>
      </w:r>
      <w:r>
        <w:rPr>
          <w:color w:val="231F20"/>
        </w:rPr>
        <w:t xml:space="preserve"> </w:t>
      </w:r>
      <w:r>
        <w:rPr>
          <w:rFonts w:ascii="Arial;sans-serif" w:hAnsi="Arial;sans-serif"/>
          <w:b w:val="false"/>
          <w:color w:val="231F20"/>
          <w:sz w:val="20"/>
        </w:rPr>
        <w:t>could</w:t>
      </w:r>
      <w:r>
        <w:rPr>
          <w:color w:val="231F20"/>
        </w:rPr>
        <w:t xml:space="preserve"> </w:t>
      </w:r>
      <w:r>
        <w:rPr>
          <w:rFonts w:ascii="Arial;sans-serif" w:hAnsi="Arial;sans-serif"/>
          <w:b w:val="false"/>
          <w:color w:val="231F20"/>
          <w:sz w:val="20"/>
        </w:rPr>
        <w:t>be material</w:t>
      </w:r>
      <w:r>
        <w:rPr>
          <w:color w:val="231F20"/>
        </w:rPr>
        <w:t xml:space="preserve"> </w:t>
      </w:r>
      <w:r>
        <w:rPr>
          <w:rFonts w:ascii="Arial;sans-serif" w:hAnsi="Arial;sans-serif"/>
          <w:b w:val="false"/>
          <w:color w:val="231F20"/>
          <w:sz w:val="20"/>
        </w:rPr>
        <w:t>to 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statements.</w:t>
      </w:r>
    </w:p>
    <w:p>
      <w:pPr>
        <w:pStyle w:val="TextBody"/>
        <w:bidi w:val="0"/>
        <w:spacing w:lineRule="auto" w:line="288" w:before="240" w:after="283"/>
        <w:ind w:left="0" w:right="0" w:firstLine="450"/>
        <w:jc w:val="left"/>
        <w:rPr/>
      </w:pPr>
      <w:r>
        <w:rPr>
          <w:rFonts w:ascii="Arial;sans-serif" w:hAnsi="Arial;sans-serif"/>
          <w:b/>
          <w:i/>
          <w:color w:val="231F20"/>
          <w:sz w:val="20"/>
        </w:rPr>
        <w:t>Concentration</w:t>
      </w:r>
      <w:r>
        <w:rPr>
          <w:color w:val="231F20"/>
        </w:rPr>
        <w:t xml:space="preserve"> </w:t>
      </w:r>
      <w:r>
        <w:rPr>
          <w:rFonts w:ascii="Arial;sans-serif" w:hAnsi="Arial;sans-serif"/>
          <w:b/>
          <w:i/>
          <w:color w:val="231F20"/>
          <w:sz w:val="20"/>
        </w:rPr>
        <w:t>of Credit</w:t>
      </w:r>
      <w:r>
        <w:rPr>
          <w:color w:val="231F20"/>
        </w:rPr>
        <w:t xml:space="preserve"> </w:t>
      </w:r>
      <w:r>
        <w:rPr>
          <w:rFonts w:ascii="Arial;sans-serif" w:hAnsi="Arial;sans-serif"/>
          <w:b/>
          <w:i/>
          <w:color w:val="231F20"/>
          <w:sz w:val="20"/>
        </w:rPr>
        <w:t>Risk</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Financial Instruments</w:t>
      </w:r>
    </w:p>
    <w:p>
      <w:pPr>
        <w:pStyle w:val="TextBody"/>
        <w:bidi w:val="0"/>
        <w:spacing w:lineRule="auto" w:line="288" w:before="240" w:after="283"/>
        <w:ind w:left="0" w:right="0" w:firstLine="450"/>
        <w:jc w:val="left"/>
        <w:rPr/>
      </w:pPr>
      <w:r>
        <w:rPr>
          <w:rFonts w:ascii="Arial;sans-serif" w:hAnsi="Arial;sans-serif"/>
          <w:b w:val="false"/>
          <w:color w:val="231F20"/>
          <w:sz w:val="20"/>
        </w:rPr>
        <w:t>The Company is subject to credit risk from its portfolio of cash, cash equivalents and short-term marketable sec</w:t>
      </w:r>
      <w:r>
        <w:rPr>
          <w:rFonts w:ascii="Arial;sans-serif" w:hAnsi="Arial;sans-serif"/>
          <w:b w:val="false"/>
          <w:color w:val="000000"/>
          <w:sz w:val="20"/>
        </w:rPr>
        <w:t xml:space="preserve">urities held at three accredited financial institutions. </w:t>
      </w:r>
      <w:r>
        <w:rPr>
          <w:rFonts w:ascii="Arial;sans-serif" w:hAnsi="Arial;sans-serif"/>
          <w:b w:val="false"/>
          <w:color w:val="231F20"/>
          <w:sz w:val="20"/>
        </w:rPr>
        <w:t xml:space="preserve">As of December 31, 2025, the Company had </w:t>
      </w:r>
      <w:r>
        <w:rPr>
          <w:rFonts w:ascii="Arial;sans-serif" w:hAnsi="Arial;sans-serif"/>
          <w:b w:val="false"/>
          <w:color w:val="000000"/>
          <w:sz w:val="20"/>
        </w:rPr>
        <w:t xml:space="preserve">$249.7 million </w:t>
      </w:r>
      <w:r>
        <w:rPr>
          <w:rFonts w:ascii="Arial;sans-serif" w:hAnsi="Arial;sans-serif"/>
          <w:b w:val="false"/>
          <w:color w:val="231F20"/>
          <w:sz w:val="20"/>
        </w:rPr>
        <w:t xml:space="preserve">of cash and cash equivalents, and short-term marketable securities of </w:t>
      </w:r>
      <w:r>
        <w:rPr>
          <w:rFonts w:ascii="Arial;sans-serif" w:hAnsi="Arial;sans-serif"/>
          <w:b w:val="false"/>
          <w:color w:val="000000"/>
          <w:sz w:val="20"/>
        </w:rPr>
        <w:t>$654.7 million</w:t>
      </w:r>
      <w:r>
        <w:rPr>
          <w:rFonts w:ascii="Arial;sans-serif" w:hAnsi="Arial;sans-serif"/>
          <w:b w:val="false"/>
          <w:color w:val="231F20"/>
          <w:sz w:val="20"/>
        </w:rPr>
        <w:t xml:space="preserve">. </w:t>
      </w:r>
      <w:r>
        <w:rPr>
          <w:rFonts w:ascii="Arial;sans-serif" w:hAnsi="Arial;sans-serif"/>
          <w:b w:val="false"/>
          <w:color w:val="000000"/>
          <w:sz w:val="20"/>
        </w:rPr>
        <w:t>The Company limits its exposure to credit losses by investing in money market funds and United States (“U.S.”) government treasury securities through U.S. banks with high credit ratings. The Company’s cash consi</w:t>
      </w:r>
      <w:r>
        <w:rPr>
          <w:rFonts w:ascii="Arial;sans-serif" w:hAnsi="Arial;sans-serif"/>
          <w:b w:val="false"/>
          <w:color w:val="231F20"/>
          <w:sz w:val="20"/>
        </w:rPr>
        <w:t xml:space="preserve">sts of deposits held with banks that may at times exceed federally insured limits, however, its exposure to credit risk in the event of default by the financial institution is limited to the extent of amounts recorded on the consolidated balance sheets. The Company performs evaluations of the relative credit standing of these financial institutions to limit the amount of credit exposure. The Company has </w:t>
      </w:r>
      <w:r>
        <w:rPr>
          <w:rFonts w:ascii="Arial;sans-serif" w:hAnsi="Arial;sans-serif"/>
          <w:b w:val="false"/>
          <w:color w:val="000000"/>
          <w:sz w:val="20"/>
        </w:rPr>
        <w:t>not</w:t>
      </w:r>
      <w:r>
        <w:rPr>
          <w:color w:val="231F20"/>
        </w:rPr>
        <w:t xml:space="preserve"> </w:t>
      </w:r>
      <w:r>
        <w:rPr>
          <w:rFonts w:ascii="Arial;sans-serif" w:hAnsi="Arial;sans-serif"/>
          <w:b w:val="false"/>
          <w:color w:val="231F20"/>
          <w:sz w:val="20"/>
        </w:rPr>
        <w:t xml:space="preserve">experienced any losses in such accounts. </w:t>
      </w:r>
    </w:p>
    <w:p>
      <w:pPr>
        <w:pStyle w:val="TextBody"/>
        <w:bidi w:val="0"/>
        <w:spacing w:lineRule="auto" w:line="288" w:before="240" w:after="283"/>
        <w:ind w:left="0" w:right="0" w:firstLine="450"/>
        <w:jc w:val="left"/>
        <w:rPr/>
      </w:pPr>
      <w:r>
        <w:rPr>
          <w:rFonts w:ascii="Arial;sans-serif" w:hAnsi="Arial;sans-serif"/>
          <w:b w:val="false"/>
          <w:color w:val="231F20"/>
          <w:sz w:val="20"/>
        </w:rPr>
        <w:t>The Company has policy limits for the amount it can invest in any one type of security, except for securities issued or guaranteed by the U.S. government. The goals of the Company’s investment policy, in order of priority, are as follows: minimize risk of the invested capital (including credit risk, interest rate risk and concentration risk), provide liquidity in a timely manner to accommodate operational and capital needs, and subject to the foregoing, seek to generate a reasonable return based on market conditions given these risk and liquidity guidelines.</w:t>
      </w:r>
      <w:r>
        <w:rPr>
          <w:color w:val="231F20"/>
        </w:rPr>
        <w:t xml:space="preserve"> </w:t>
      </w:r>
      <w:r>
        <w:rPr>
          <w:rFonts w:ascii="Arial;sans-serif" w:hAnsi="Arial;sans-serif"/>
          <w:b w:val="false"/>
          <w:color w:val="231F20"/>
          <w:sz w:val="20"/>
        </w:rPr>
        <w:t>As of December 31, 2025, the Company had no off-balance sheet</w:t>
      </w:r>
      <w:r>
        <w:rPr>
          <w:color w:val="231F20"/>
        </w:rPr>
        <w:t xml:space="preserve"> </w:t>
      </w:r>
      <w:r>
        <w:rPr>
          <w:rFonts w:ascii="Arial;sans-serif" w:hAnsi="Arial;sans-serif"/>
          <w:b w:val="false"/>
          <w:color w:val="231F20"/>
          <w:sz w:val="20"/>
        </w:rPr>
        <w:t>concentrations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risk. Under its investment policy, the Company limits amounts invested in such securities by credit rating, maturity, investment type and issuer, as a result, the Company is not exposed to any significant concentrations of credit risk from these financial instruments.</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Customers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subject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risk</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arise from</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performed 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U.S. and</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biopharmaceutical</w:t>
      </w:r>
      <w:r>
        <w:rPr>
          <w:color w:val="231F20"/>
        </w:rPr>
        <w:t xml:space="preserve"> </w:t>
      </w:r>
      <w:r>
        <w:rPr>
          <w:rFonts w:ascii="Arial;sans-serif" w:hAnsi="Arial;sans-serif"/>
          <w:b w:val="false"/>
          <w:color w:val="231F20"/>
          <w:sz w:val="20"/>
        </w:rPr>
        <w:t>companies,</w:t>
      </w:r>
      <w:r>
        <w:rPr>
          <w:color w:val="231F20"/>
        </w:rPr>
        <w:t xml:space="preserve"> </w:t>
      </w:r>
      <w:r>
        <w:rPr>
          <w:rFonts w:ascii="Arial;sans-serif" w:hAnsi="Arial;sans-serif"/>
          <w:b w:val="false"/>
          <w:color w:val="231F20"/>
          <w:sz w:val="20"/>
        </w:rPr>
        <w:t>healthcare</w:t>
      </w:r>
      <w:r>
        <w:rPr>
          <w:color w:val="231F20"/>
        </w:rPr>
        <w:t xml:space="preserve"> </w:t>
      </w:r>
      <w:r>
        <w:rPr>
          <w:rFonts w:ascii="Arial;sans-serif" w:hAnsi="Arial;sans-serif"/>
          <w:b w:val="false"/>
          <w:color w:val="231F20"/>
          <w:sz w:val="20"/>
        </w:rPr>
        <w:t>organizations,</w:t>
      </w:r>
      <w:r>
        <w:rPr>
          <w:color w:val="231F20"/>
        </w:rPr>
        <w:t xml:space="preserve"> </w:t>
      </w:r>
      <w:r>
        <w:rPr>
          <w:rFonts w:ascii="Arial;sans-serif" w:hAnsi="Arial;sans-serif"/>
          <w:b w:val="false"/>
          <w:color w:val="231F20"/>
          <w:sz w:val="20"/>
        </w:rPr>
        <w:t>employers, digital health platforms, concierge</w:t>
      </w:r>
      <w:r>
        <w:rPr>
          <w:color w:val="231F20"/>
        </w:rPr>
        <w:t xml:space="preserve"> </w:t>
      </w:r>
      <w:r>
        <w:rPr>
          <w:rFonts w:ascii="Arial;sans-serif" w:hAnsi="Arial;sans-serif"/>
          <w:b w:val="false"/>
          <w:color w:val="231F20"/>
          <w:sz w:val="20"/>
        </w:rPr>
        <w:t>medicine</w:t>
      </w:r>
      <w:r>
        <w:rPr>
          <w:color w:val="231F20"/>
        </w:rPr>
        <w:t xml:space="preserve"> </w:t>
      </w:r>
      <w:r>
        <w:rPr>
          <w:rFonts w:ascii="Arial;sans-serif" w:hAnsi="Arial;sans-serif"/>
          <w:b w:val="false"/>
          <w:color w:val="231F20"/>
          <w:sz w:val="20"/>
        </w:rPr>
        <w:t>practices,</w:t>
      </w:r>
      <w:r>
        <w:rPr>
          <w:color w:val="231F20"/>
        </w:rPr>
        <w:t xml:space="preserve"> </w:t>
      </w:r>
      <w:r>
        <w:rPr>
          <w:rFonts w:ascii="Arial;sans-serif" w:hAnsi="Arial;sans-serif"/>
          <w:b w:val="false"/>
          <w:color w:val="231F20"/>
          <w:sz w:val="20"/>
        </w:rPr>
        <w:t>life</w:t>
      </w:r>
      <w:r>
        <w:rPr>
          <w:color w:val="231F20"/>
        </w:rPr>
        <w:t xml:space="preserve"> </w:t>
      </w:r>
      <w:r>
        <w:rPr>
          <w:rFonts w:ascii="Arial;sans-serif" w:hAnsi="Arial;sans-serif"/>
          <w:b w:val="false"/>
          <w:color w:val="231F20"/>
          <w:sz w:val="20"/>
        </w:rPr>
        <w:t>insurance</w:t>
      </w:r>
      <w:r>
        <w:rPr>
          <w:color w:val="231F20"/>
        </w:rPr>
        <w:t xml:space="preserve"> </w:t>
      </w:r>
      <w:r>
        <w:rPr>
          <w:rFonts w:ascii="Arial;sans-serif" w:hAnsi="Arial;sans-serif"/>
          <w:b w:val="false"/>
          <w:color w:val="231F20"/>
          <w:sz w:val="20"/>
        </w:rPr>
        <w:t>companies, Centers for Medicare &amp; Medicaid Services,</w:t>
      </w:r>
      <w:r>
        <w:rPr>
          <w:color w:val="231F20"/>
        </w:rPr>
        <w:t xml:space="preserve"> </w:t>
      </w:r>
      <w:r>
        <w:rPr>
          <w:rFonts w:ascii="Arial;sans-serif" w:hAnsi="Arial;sans-serif"/>
          <w:b w:val="false"/>
          <w:color w:val="231F20"/>
          <w:sz w:val="20"/>
        </w:rPr>
        <w:t>and individuals.</w:t>
      </w:r>
      <w:r>
        <w:rPr>
          <w:color w:val="231F20"/>
        </w:rPr>
        <w:t xml:space="preserve"> </w:t>
      </w:r>
      <w:r>
        <w:rPr>
          <w:rFonts w:ascii="Arial;sans-serif" w:hAnsi="Arial;sans-serif"/>
          <w:b w:val="false"/>
          <w:color w:val="231F20"/>
          <w:sz w:val="20"/>
        </w:rPr>
        <w:t>The Company does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require</w:t>
      </w:r>
      <w:r>
        <w:rPr>
          <w:color w:val="231F20"/>
        </w:rPr>
        <w:t xml:space="preserve"> </w:t>
      </w:r>
      <w:r>
        <w:rPr>
          <w:rFonts w:ascii="Arial;sans-serif" w:hAnsi="Arial;sans-serif"/>
          <w:b w:val="false"/>
          <w:color w:val="231F20"/>
          <w:sz w:val="20"/>
        </w:rPr>
        <w:t>collateral.</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recorded</w:t>
      </w:r>
      <w:r>
        <w:rPr>
          <w:color w:val="231F20"/>
        </w:rPr>
        <w:t xml:space="preserve"> </w:t>
      </w:r>
      <w:r>
        <w:rPr>
          <w:rFonts w:ascii="Arial;sans-serif" w:hAnsi="Arial;sans-serif"/>
          <w:b w:val="false"/>
          <w:color w:val="231F20"/>
          <w:sz w:val="20"/>
        </w:rPr>
        <w:t>net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allowance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losses.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Significant customers are those that represent more than ten percent of total revenue or accounts receivable, net balances for the periods and as of each consolidated balance sheet date presented, respectively.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For the year ended </w:t>
      </w:r>
      <w:r>
        <w:rPr>
          <w:rFonts w:ascii="Arial;sans-serif" w:hAnsi="Arial;sans-serif"/>
          <w:b w:val="false"/>
          <w:color w:val="231F20"/>
          <w:sz w:val="20"/>
        </w:rPr>
        <w:t xml:space="preserve">December 31, 2025, </w:t>
      </w:r>
      <w:r>
        <w:rPr>
          <w:rFonts w:ascii="Arial;sans-serif" w:hAnsi="Arial;sans-serif"/>
          <w:b w:val="false"/>
          <w:color w:val="000000"/>
          <w:sz w:val="20"/>
        </w:rPr>
        <w:t xml:space="preserve">no single customer accounted for 10% or more of the Company’s revenue. For the </w:t>
      </w:r>
      <w:r>
        <w:rPr>
          <w:rFonts w:ascii="Arial;sans-serif" w:hAnsi="Arial;sans-serif"/>
          <w:b w:val="false"/>
          <w:color w:val="231F20"/>
          <w:sz w:val="20"/>
        </w:rPr>
        <w:t xml:space="preserve">years ended </w:t>
      </w:r>
      <w:r>
        <w:rPr>
          <w:rFonts w:ascii="Arial;sans-serif" w:hAnsi="Arial;sans-serif"/>
          <w:b w:val="false"/>
          <w:color w:val="000000"/>
          <w:sz w:val="20"/>
        </w:rPr>
        <w:t xml:space="preserve">December 31, 2024, </w:t>
      </w:r>
      <w:r>
        <w:rPr>
          <w:rFonts w:ascii="Arial;sans-serif" w:hAnsi="Arial;sans-serif"/>
          <w:b w:val="false"/>
          <w:color w:val="231F20"/>
          <w:sz w:val="20"/>
        </w:rPr>
        <w:t xml:space="preserve">and </w:t>
      </w:r>
      <w:r>
        <w:rPr>
          <w:rFonts w:ascii="Arial;sans-serif" w:hAnsi="Arial;sans-serif"/>
          <w:b w:val="false"/>
          <w:color w:val="000000"/>
          <w:sz w:val="20"/>
        </w:rPr>
        <w:t>December 31, 2023, one customer accounted for 11% and 14% of the Company’s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83845"/>
                <wp:effectExtent l="0" t="0" r="0" b="0"/>
                <wp:wrapNone/>
                <wp:docPr id="173" name="Frame16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As of </w:t>
      </w:r>
      <w:r>
        <w:rPr>
          <w:rFonts w:ascii="Arial;sans-serif" w:hAnsi="Arial;sans-serif"/>
          <w:b w:val="false"/>
          <w:color w:val="231F20"/>
          <w:sz w:val="20"/>
        </w:rPr>
        <w:t xml:space="preserve">December 31, 2025, </w:t>
      </w:r>
      <w:r>
        <w:rPr>
          <w:rFonts w:ascii="Arial;sans-serif" w:hAnsi="Arial;sans-serif"/>
          <w:b w:val="false"/>
          <w:color w:val="000000"/>
          <w:sz w:val="20"/>
        </w:rPr>
        <w:t>no single customer accounted for 10% or more of the Company’s account receivable, net. As of</w:t>
      </w:r>
      <w:r>
        <w:rPr>
          <w:color w:val="231F20"/>
        </w:rPr>
        <w:t xml:space="preserve"> </w:t>
      </w:r>
      <w:r>
        <w:rPr>
          <w:rFonts w:ascii="Arial;sans-serif" w:hAnsi="Arial;sans-serif"/>
          <w:b w:val="false"/>
          <w:color w:val="000000"/>
          <w:sz w:val="20"/>
        </w:rPr>
        <w:t>December 31, 2024 one customer accounted for 32% of the Company’s account receivable, net.</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Suppliers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is subject to a concentration risk for equipment, supplies and reagents that are available from a limited number of sources. The Company sources certain laboratory equipment, supplies and reagents used to perform testing services and research and development from single vendors. Historically, the Company has not experienced significant issues sourcing equipment and supplies needed to perform testing services.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Cash and Cash Equivalents</w:t>
      </w:r>
    </w:p>
    <w:p>
      <w:pPr>
        <w:pStyle w:val="TextBody"/>
        <w:bidi w:val="0"/>
        <w:spacing w:lineRule="auto" w:line="288" w:before="240" w:after="283"/>
        <w:ind w:left="0" w:right="0" w:firstLine="450"/>
        <w:jc w:val="left"/>
        <w:rPr/>
      </w:pPr>
      <w:r>
        <w:rPr>
          <w:rFonts w:ascii="Arial;sans-serif" w:hAnsi="Arial;sans-serif"/>
          <w:b w:val="false"/>
          <w:color w:val="231F20"/>
          <w:sz w:val="20"/>
        </w:rPr>
        <w:t>Cash and cash equivalents</w:t>
      </w:r>
      <w:r>
        <w:rPr>
          <w:color w:val="231F20"/>
        </w:rPr>
        <w:t xml:space="preserve"> </w:t>
      </w:r>
      <w:r>
        <w:rPr>
          <w:rFonts w:ascii="Arial;sans-serif" w:hAnsi="Arial;sans-serif"/>
          <w:b w:val="false"/>
          <w:color w:val="231F20"/>
          <w:sz w:val="20"/>
        </w:rPr>
        <w:t>consist of cash on deposit with banks denominated</w:t>
      </w:r>
      <w:r>
        <w:rPr>
          <w:color w:val="231F20"/>
        </w:rPr>
        <w:t xml:space="preserve"> </w:t>
      </w:r>
      <w:r>
        <w:rPr>
          <w:rFonts w:ascii="Arial;sans-serif" w:hAnsi="Arial;sans-serif"/>
          <w:b w:val="false"/>
          <w:color w:val="231F20"/>
          <w:sz w:val="20"/>
        </w:rPr>
        <w:t xml:space="preserve">in U.S. Dollars and British Pounds, money market funds, and all highly liquid investments with an original maturity of three months or less. </w:t>
      </w:r>
    </w:p>
    <w:p>
      <w:pPr>
        <w:pStyle w:val="TextBody"/>
        <w:bidi w:val="0"/>
        <w:spacing w:lineRule="auto" w:line="288" w:before="240" w:after="283"/>
        <w:jc w:val="left"/>
        <w:rPr/>
      </w:pPr>
      <w:r>
        <w:rPr>
          <w:rFonts w:ascii="Arial;sans-serif" w:hAnsi="Arial;sans-serif"/>
          <w:b/>
          <w:i/>
          <w:color w:val="231F20"/>
          <w:sz w:val="20"/>
        </w:rPr>
        <w:t>Restricted</w:t>
      </w:r>
      <w:r>
        <w:rPr>
          <w:color w:val="231F20"/>
        </w:rPr>
        <w:t xml:space="preserve"> </w:t>
      </w:r>
      <w:r>
        <w:rPr>
          <w:rFonts w:ascii="Arial;sans-serif" w:hAnsi="Arial;sans-serif"/>
          <w:b/>
          <w:i/>
          <w:color w:val="231F20"/>
          <w:sz w:val="20"/>
        </w:rPr>
        <w:t>Cash</w:t>
      </w:r>
    </w:p>
    <w:p>
      <w:pPr>
        <w:pStyle w:val="TextBody"/>
        <w:bidi w:val="0"/>
        <w:spacing w:lineRule="auto" w:line="288" w:before="240" w:after="283"/>
        <w:ind w:left="0" w:right="0" w:firstLine="450"/>
        <w:jc w:val="left"/>
        <w:rPr/>
      </w:pPr>
      <w:r>
        <w:rPr>
          <w:rFonts w:ascii="Arial;sans-serif" w:hAnsi="Arial;sans-serif"/>
          <w:b w:val="false"/>
          <w:color w:val="231F20"/>
          <w:sz w:val="20"/>
        </w:rPr>
        <w:t>Restricted</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comprised</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restricted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withdrawal</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use</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letters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for 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agreements.</w:t>
      </w:r>
    </w:p>
    <w:p>
      <w:pPr>
        <w:pStyle w:val="TextBody"/>
        <w:bidi w:val="0"/>
        <w:spacing w:lineRule="auto" w:line="288" w:before="240" w:after="283"/>
        <w:ind w:left="0" w:right="0" w:firstLine="450"/>
        <w:jc w:val="left"/>
        <w:rPr>
          <w:rFonts w:ascii="Arial;sans-serif" w:hAnsi="Arial;sans-serif"/>
          <w:b/>
          <w:i/>
          <w:color w:val="231F20"/>
          <w:sz w:val="20"/>
        </w:rPr>
      </w:pPr>
      <w:r>
        <w:rPr>
          <w:rFonts w:ascii="Arial;sans-serif" w:hAnsi="Arial;sans-serif"/>
          <w:b/>
          <w:i/>
          <w:color w:val="231F20"/>
          <w:sz w:val="20"/>
        </w:rPr>
        <w:t>Short-term marketable securities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classifies its investments as available-for-sale, which consist of high-grade U.S. government treasury bills and are reported at fair value. Management determines the appropriate classification of investments at the time of purchase and re-evaluates such designation as of each balance sheet date. Marketable securities that mature within twelve months from the balance sheet date are classified as short-term marketable securities and those with maturities over twelve months from the balance sheet date are classified as long-term marketable securities. Unrealized holding gains and losses are reflected as a separate component of shareholders’ equity in accumulated other comprehensive gain (loss) until realized. Realized gains and losses on the sale of these securities are recognized in net income or loss.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regularly evaluates its investment portfolio under the available-for-sale debt securities impairment model guidance for indications of possible impairment from credit losses or other factors. For available-for-sale debt securities in an unrealized loss position, the Company evaluates whether a current expected credit loss exists based on available information relevant to the credit rating of the security, current economic conditions and reasonable and supportable forecasts. The Company’s investment portfolio is composed of low-risk, investment grade securities and thus the Company has not recorded an expected credit loss for its investment portfolio.</w:t>
      </w:r>
    </w:p>
    <w:p>
      <w:pPr>
        <w:pStyle w:val="TextBody"/>
        <w:bidi w:val="0"/>
        <w:spacing w:lineRule="auto" w:line="288" w:before="240" w:after="283"/>
        <w:jc w:val="left"/>
        <w:rPr/>
      </w:pPr>
      <w:r>
        <w:rPr>
          <w:rFonts w:ascii="Arial;sans-serif" w:hAnsi="Arial;sans-serif"/>
          <w:b/>
          <w:i/>
          <w:color w:val="231F20"/>
          <w:sz w:val="20"/>
        </w:rPr>
        <w:t>Fair</w:t>
      </w:r>
      <w:r>
        <w:rPr>
          <w:color w:val="231F20"/>
        </w:rPr>
        <w:t xml:space="preserve"> </w:t>
      </w:r>
      <w:r>
        <w:rPr>
          <w:rFonts w:ascii="Arial;sans-serif" w:hAnsi="Arial;sans-serif"/>
          <w:b/>
          <w:i/>
          <w:color w:val="231F20"/>
          <w:sz w:val="20"/>
        </w:rPr>
        <w:t>Value</w:t>
      </w:r>
      <w:r>
        <w:rPr>
          <w:color w:val="231F20"/>
        </w:rPr>
        <w:t xml:space="preserve"> </w:t>
      </w:r>
      <w:r>
        <w:rPr>
          <w:rFonts w:ascii="Arial;sans-serif" w:hAnsi="Arial;sans-serif"/>
          <w:b/>
          <w:i/>
          <w:color w:val="231F20"/>
          <w:sz w:val="20"/>
        </w:rPr>
        <w:t>of</w:t>
      </w:r>
      <w:r>
        <w:rPr>
          <w:color w:val="231F20"/>
        </w:rPr>
        <w:t xml:space="preserve"> </w:t>
      </w:r>
      <w:r>
        <w:rPr>
          <w:rFonts w:ascii="Arial;sans-serif" w:hAnsi="Arial;sans-serif"/>
          <w:b/>
          <w:i/>
          <w:color w:val="231F20"/>
          <w:sz w:val="20"/>
        </w:rPr>
        <w:t>Financial</w:t>
      </w:r>
      <w:r>
        <w:rPr>
          <w:color w:val="231F20"/>
        </w:rPr>
        <w:t xml:space="preserve"> </w:t>
      </w:r>
      <w:r>
        <w:rPr>
          <w:rFonts w:ascii="Arial;sans-serif" w:hAnsi="Arial;sans-serif"/>
          <w:b/>
          <w:i/>
          <w:color w:val="231F20"/>
          <w:sz w:val="20"/>
        </w:rPr>
        <w:t>Instruments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determined</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hierarchy</w:t>
      </w:r>
      <w:r>
        <w:rPr>
          <w:color w:val="231F20"/>
        </w:rPr>
        <w:t xml:space="preserve"> </w:t>
      </w:r>
      <w:r>
        <w:rPr>
          <w:rFonts w:ascii="Arial;sans-serif" w:hAnsi="Arial;sans-serif"/>
          <w:b w:val="false"/>
          <w:color w:val="231F20"/>
          <w:sz w:val="20"/>
        </w:rPr>
        <w:t>established</w:t>
      </w:r>
      <w:r>
        <w:rPr>
          <w:color w:val="231F20"/>
        </w:rPr>
        <w:t xml:space="preserve"> </w:t>
      </w:r>
      <w:r>
        <w:rPr>
          <w:rFonts w:ascii="Arial;sans-serif" w:hAnsi="Arial;sans-serif"/>
          <w:b w:val="false"/>
          <w:color w:val="231F20"/>
          <w:sz w:val="20"/>
        </w:rPr>
        <w:t>in Accounting Standards Codification</w:t>
      </w:r>
      <w:r>
        <w:rPr>
          <w:color w:val="231F20"/>
        </w:rPr>
        <w:t xml:space="preserve"> </w:t>
      </w:r>
      <w:r>
        <w:rPr>
          <w:rFonts w:ascii="Arial;sans-serif" w:hAnsi="Arial;sans-serif"/>
          <w:b w:val="false"/>
          <w:color w:val="231F20"/>
          <w:sz w:val="20"/>
        </w:rPr>
        <w:t>Topic 820, Fair Value Measurement</w:t>
      </w:r>
      <w:r>
        <w:rPr>
          <w:color w:val="231F20"/>
        </w:rPr>
        <w:t xml:space="preserve"> </w:t>
      </w:r>
      <w:r>
        <w:rPr>
          <w:rFonts w:ascii="Arial;sans-serif" w:hAnsi="Arial;sans-serif"/>
          <w:b w:val="false"/>
          <w:color w:val="231F20"/>
          <w:sz w:val="20"/>
        </w:rPr>
        <w:t>(“ASC 820”). ASC</w:t>
      </w:r>
      <w:r>
        <w:rPr>
          <w:color w:val="231F20"/>
        </w:rPr>
        <w:t xml:space="preserve"> </w:t>
      </w:r>
      <w:r>
        <w:rPr>
          <w:rFonts w:ascii="Arial;sans-serif" w:hAnsi="Arial;sans-serif"/>
          <w:b w:val="false"/>
          <w:color w:val="231F20"/>
          <w:sz w:val="20"/>
        </w:rPr>
        <w:t>820 identifies</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exchange</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exit</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representing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would</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received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sell</w:t>
      </w:r>
      <w:r>
        <w:rPr>
          <w:color w:val="231F20"/>
        </w:rPr>
        <w:t xml:space="preserve"> </w:t>
      </w:r>
      <w:r>
        <w:rPr>
          <w:rFonts w:ascii="Arial;sans-serif" w:hAnsi="Arial;sans-serif"/>
          <w:b w:val="false"/>
          <w:color w:val="231F20"/>
          <w:sz w:val="20"/>
        </w:rPr>
        <w:t>an asset</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paid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transfer</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liability</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orderly</w:t>
      </w:r>
      <w:r>
        <w:rPr>
          <w:color w:val="231F20"/>
        </w:rPr>
        <w:t xml:space="preserve"> </w:t>
      </w:r>
      <w:r>
        <w:rPr>
          <w:rFonts w:ascii="Arial;sans-serif" w:hAnsi="Arial;sans-serif"/>
          <w:b w:val="false"/>
          <w:color w:val="231F20"/>
          <w:sz w:val="20"/>
        </w:rPr>
        <w:t>transaction</w:t>
      </w:r>
      <w:r>
        <w:rPr>
          <w:color w:val="231F20"/>
        </w:rPr>
        <w:t xml:space="preserve"> </w:t>
      </w:r>
      <w:r>
        <w:rPr>
          <w:rFonts w:ascii="Arial;sans-serif" w:hAnsi="Arial;sans-serif"/>
          <w:b w:val="false"/>
          <w:color w:val="231F20"/>
          <w:sz w:val="20"/>
        </w:rPr>
        <w:t>between</w:t>
      </w:r>
      <w:r>
        <w:rPr>
          <w:color w:val="231F20"/>
        </w:rPr>
        <w:t xml:space="preserve"> </w:t>
      </w:r>
      <w:r>
        <w:rPr>
          <w:rFonts w:ascii="Arial;sans-serif" w:hAnsi="Arial;sans-serif"/>
          <w:b w:val="false"/>
          <w:color w:val="231F20"/>
          <w:sz w:val="20"/>
        </w:rPr>
        <w:t>market</w:t>
      </w:r>
      <w:r>
        <w:rPr>
          <w:color w:val="231F20"/>
        </w:rPr>
        <w:t xml:space="preserve"> </w:t>
      </w:r>
      <w:r>
        <w:rPr>
          <w:rFonts w:ascii="Arial;sans-serif" w:hAnsi="Arial;sans-serif"/>
          <w:b w:val="false"/>
          <w:color w:val="231F20"/>
          <w:sz w:val="20"/>
        </w:rPr>
        <w:t>participants.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hierarchy</w:t>
      </w:r>
      <w:r>
        <w:rPr>
          <w:color w:val="231F20"/>
        </w:rPr>
        <w:t xml:space="preserve"> </w:t>
      </w:r>
      <w:r>
        <w:rPr>
          <w:rFonts w:ascii="Arial;sans-serif" w:hAnsi="Arial;sans-serif"/>
          <w:b w:val="false"/>
          <w:color w:val="231F20"/>
          <w:sz w:val="20"/>
        </w:rPr>
        <w:t>describes three</w:t>
      </w:r>
      <w:r>
        <w:rPr>
          <w:color w:val="231F20"/>
        </w:rPr>
        <w:t xml:space="preserve"> </w:t>
      </w:r>
      <w:r>
        <w:rPr>
          <w:rFonts w:ascii="Arial;sans-serif" w:hAnsi="Arial;sans-serif"/>
          <w:b w:val="false"/>
          <w:color w:val="231F20"/>
          <w:sz w:val="20"/>
        </w:rPr>
        <w:t>levels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inputs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may</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used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measure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p>
      <w:pPr>
        <w:pStyle w:val="TextBody"/>
        <w:bidi w:val="0"/>
        <w:spacing w:lineRule="auto" w:line="288" w:before="240" w:after="283"/>
        <w:ind w:left="0" w:right="0" w:firstLine="450"/>
        <w:jc w:val="left"/>
        <w:rPr/>
      </w:pP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1</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inputs,</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quoted</w:t>
      </w:r>
      <w:r>
        <w:rPr>
          <w:color w:val="231F20"/>
        </w:rPr>
        <w:t xml:space="preserve"> </w:t>
      </w:r>
      <w:r>
        <w:rPr>
          <w:rFonts w:ascii="Arial;sans-serif" w:hAnsi="Arial;sans-serif"/>
          <w:b w:val="false"/>
          <w:color w:val="231F20"/>
          <w:sz w:val="20"/>
        </w:rPr>
        <w:t>prices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active</w:t>
      </w:r>
      <w:r>
        <w:rPr>
          <w:color w:val="231F20"/>
        </w:rPr>
        <w:t xml:space="preserve"> </w:t>
      </w:r>
      <w:r>
        <w:rPr>
          <w:rFonts w:ascii="Arial;sans-serif" w:hAnsi="Arial;sans-serif"/>
          <w:b w:val="false"/>
          <w:color w:val="231F20"/>
          <w:sz w:val="20"/>
        </w:rPr>
        <w:t>markets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identical</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liabilities.</w:t>
      </w:r>
    </w:p>
    <w:p>
      <w:pPr>
        <w:pStyle w:val="TextBody"/>
        <w:bidi w:val="0"/>
        <w:spacing w:lineRule="auto" w:line="288" w:before="240" w:after="283"/>
        <w:ind w:left="0" w:right="0" w:firstLine="450"/>
        <w:jc w:val="left"/>
        <w:rPr/>
      </w:pP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2</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inputs</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than</w:t>
      </w:r>
      <w:r>
        <w:rPr>
          <w:color w:val="231F20"/>
        </w:rPr>
        <w:t xml:space="preserve"> </w:t>
      </w: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1</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either</w:t>
      </w:r>
      <w:r>
        <w:rPr>
          <w:color w:val="231F20"/>
        </w:rPr>
        <w:t xml:space="preserve"> </w:t>
      </w:r>
      <w:r>
        <w:rPr>
          <w:rFonts w:ascii="Arial;sans-serif" w:hAnsi="Arial;sans-serif"/>
          <w:b w:val="false"/>
          <w:color w:val="231F20"/>
          <w:sz w:val="20"/>
        </w:rPr>
        <w:t>directly</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indirectly,</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as quoted</w:t>
      </w:r>
      <w:r>
        <w:rPr>
          <w:color w:val="231F20"/>
        </w:rPr>
        <w:t xml:space="preserve"> </w:t>
      </w:r>
      <w:r>
        <w:rPr>
          <w:rFonts w:ascii="Arial;sans-serif" w:hAnsi="Arial;sans-serif"/>
          <w:b w:val="false"/>
          <w:color w:val="231F20"/>
          <w:sz w:val="20"/>
        </w:rPr>
        <w:t>prices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similar</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quoted</w:t>
      </w:r>
      <w:r>
        <w:rPr>
          <w:color w:val="231F20"/>
        </w:rPr>
        <w:t xml:space="preserve"> </w:t>
      </w:r>
      <w:r>
        <w:rPr>
          <w:rFonts w:ascii="Arial;sans-serif" w:hAnsi="Arial;sans-serif"/>
          <w:b w:val="false"/>
          <w:color w:val="231F20"/>
          <w:sz w:val="20"/>
        </w:rPr>
        <w:t>prices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markets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active,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inputs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 observable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can</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corroborated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market</w:t>
      </w:r>
      <w:r>
        <w:rPr>
          <w:color w:val="231F20"/>
        </w:rPr>
        <w:t xml:space="preserve"> </w:t>
      </w:r>
      <w:r>
        <w:rPr>
          <w:rFonts w:ascii="Arial;sans-serif" w:hAnsi="Arial;sans-serif"/>
          <w:b w:val="false"/>
          <w:color w:val="231F20"/>
          <w:sz w:val="20"/>
        </w:rPr>
        <w:t>data</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substantially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full</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83845"/>
                <wp:effectExtent l="0" t="0" r="0" b="0"/>
                <wp:wrapNone/>
                <wp:docPr id="174" name="Frame16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pP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3</w:t>
      </w:r>
      <w:r>
        <w:rPr>
          <w:color w:val="231F20"/>
        </w:rPr>
        <w:t xml:space="preserve"> —</w:t>
      </w:r>
      <w:r>
        <w:rPr>
          <w:rFonts w:ascii="Arial;sans-serif" w:hAnsi="Arial;sans-serif"/>
          <w:b w:val="false"/>
          <w:color w:val="231F20"/>
          <w:sz w:val="20"/>
        </w:rPr>
        <w:t>Unobservable</w:t>
      </w:r>
      <w:r>
        <w:rPr>
          <w:color w:val="231F20"/>
        </w:rPr>
        <w:t xml:space="preserve"> </w:t>
      </w:r>
      <w:r>
        <w:rPr>
          <w:rFonts w:ascii="Arial;sans-serif" w:hAnsi="Arial;sans-serif"/>
          <w:b w:val="false"/>
          <w:color w:val="231F20"/>
          <w:sz w:val="20"/>
        </w:rPr>
        <w:t>inputs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supported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little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no</w:t>
      </w:r>
      <w:r>
        <w:rPr>
          <w:color w:val="231F20"/>
        </w:rPr>
        <w:t xml:space="preserve"> </w:t>
      </w:r>
      <w:r>
        <w:rPr>
          <w:rFonts w:ascii="Arial;sans-serif" w:hAnsi="Arial;sans-serif"/>
          <w:b w:val="false"/>
          <w:color w:val="231F20"/>
          <w:sz w:val="20"/>
        </w:rPr>
        <w:t>market</w:t>
      </w:r>
      <w:r>
        <w:rPr>
          <w:color w:val="231F20"/>
        </w:rPr>
        <w:t xml:space="preserve"> </w:t>
      </w:r>
      <w:r>
        <w:rPr>
          <w:rFonts w:ascii="Arial;sans-serif" w:hAnsi="Arial;sans-serif"/>
          <w:b w:val="false"/>
          <w:color w:val="231F20"/>
          <w:sz w:val="20"/>
        </w:rPr>
        <w:t>activity</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significant</w:t>
      </w:r>
      <w:r>
        <w:rPr>
          <w:color w:val="231F20"/>
        </w:rPr>
        <w:t xml:space="preserve"> </w:t>
      </w:r>
      <w:r>
        <w:rPr>
          <w:rFonts w:ascii="Arial;sans-serif" w:hAnsi="Arial;sans-serif"/>
          <w:b w:val="false"/>
          <w:color w:val="231F20"/>
          <w:sz w:val="20"/>
        </w:rPr>
        <w:t>to 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liabilities.</w:t>
      </w:r>
    </w:p>
    <w:p>
      <w:pPr>
        <w:pStyle w:val="TextBody"/>
        <w:bidi w:val="0"/>
        <w:spacing w:lineRule="auto" w:line="288" w:before="240" w:after="283"/>
        <w:ind w:left="0" w:right="0" w:firstLine="450"/>
        <w:jc w:val="left"/>
        <w:rPr/>
      </w:pP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instrument’s</w:t>
      </w:r>
      <w:r>
        <w:rPr>
          <w:color w:val="231F20"/>
        </w:rPr>
        <w:t xml:space="preserve"> </w:t>
      </w: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hierarchy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lowest</w:t>
      </w:r>
      <w:r>
        <w:rPr>
          <w:color w:val="231F20"/>
        </w:rPr>
        <w:t xml:space="preserve"> </w:t>
      </w: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input</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is significant</w:t>
      </w:r>
      <w:r>
        <w:rPr>
          <w:color w:val="231F20"/>
        </w:rPr>
        <w:t xml:space="preserve"> </w:t>
      </w:r>
      <w:r>
        <w:rPr>
          <w:rFonts w:ascii="Arial;sans-serif" w:hAnsi="Arial;sans-serif"/>
          <w:b w:val="false"/>
          <w:color w:val="231F20"/>
          <w:sz w:val="20"/>
        </w:rPr>
        <w:t>to 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measurement.</w:t>
      </w:r>
    </w:p>
    <w:p>
      <w:pPr>
        <w:pStyle w:val="TextBody"/>
        <w:bidi w:val="0"/>
        <w:spacing w:lineRule="auto" w:line="288" w:before="240" w:after="283"/>
        <w:ind w:left="0" w:right="0" w:firstLine="450"/>
        <w:jc w:val="left"/>
        <w:rPr/>
      </w:pPr>
      <w:r>
        <w:rPr>
          <w:rFonts w:ascii="Arial;sans-serif" w:hAnsi="Arial;sans-serif"/>
          <w:b w:val="false"/>
          <w:color w:val="231F20"/>
          <w:sz w:val="20"/>
        </w:rPr>
        <w:t>The carrying</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instruments</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net,</w:t>
      </w:r>
      <w:r>
        <w:rPr>
          <w:color w:val="231F20"/>
        </w:rPr>
        <w:t xml:space="preserve"> </w:t>
      </w:r>
      <w:r>
        <w:rPr>
          <w:rFonts w:ascii="Arial;sans-serif" w:hAnsi="Arial;sans-serif"/>
          <w:b w:val="false"/>
          <w:color w:val="231F20"/>
          <w:sz w:val="20"/>
        </w:rPr>
        <w:t>prepaid</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and other</w:t>
      </w:r>
      <w:r>
        <w:rPr>
          <w:color w:val="231F20"/>
        </w:rPr>
        <w:t xml:space="preserve"> </w:t>
      </w:r>
      <w:r>
        <w:rPr>
          <w:rFonts w:ascii="Arial;sans-serif" w:hAnsi="Arial;sans-serif"/>
          <w:b w:val="false"/>
          <w:color w:val="231F20"/>
          <w:sz w:val="20"/>
        </w:rPr>
        <w:t>current</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payable,</w:t>
      </w:r>
      <w:r>
        <w:rPr>
          <w:color w:val="231F20"/>
        </w:rPr>
        <w:t xml:space="preserve"> </w:t>
      </w:r>
      <w:r>
        <w:rPr>
          <w:rFonts w:ascii="Arial;sans-serif" w:hAnsi="Arial;sans-serif"/>
          <w:b w:val="false"/>
          <w:color w:val="231F20"/>
          <w:sz w:val="20"/>
        </w:rPr>
        <w:t>and accrued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approximate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due to</w:t>
      </w:r>
      <w:r>
        <w:rPr>
          <w:color w:val="231F20"/>
        </w:rPr>
        <w:t xml:space="preserve"> </w:t>
      </w:r>
      <w:r>
        <w:rPr>
          <w:rFonts w:ascii="Arial;sans-serif" w:hAnsi="Arial;sans-serif"/>
          <w:b w:val="false"/>
          <w:color w:val="231F20"/>
          <w:sz w:val="20"/>
        </w:rPr>
        <w:t>their</w:t>
      </w:r>
      <w:r>
        <w:rPr>
          <w:color w:val="231F20"/>
        </w:rPr>
        <w:t xml:space="preserve"> </w:t>
      </w:r>
      <w:r>
        <w:rPr>
          <w:rFonts w:ascii="Arial;sans-serif" w:hAnsi="Arial;sans-serif"/>
          <w:b w:val="false"/>
          <w:color w:val="231F20"/>
          <w:sz w:val="20"/>
        </w:rPr>
        <w:t>short-term</w:t>
      </w:r>
      <w:r>
        <w:rPr>
          <w:color w:val="231F20"/>
        </w:rPr>
        <w:t xml:space="preserve"> </w:t>
      </w:r>
      <w:r>
        <w:rPr>
          <w:rFonts w:ascii="Arial;sans-serif" w:hAnsi="Arial;sans-serif"/>
          <w:b w:val="false"/>
          <w:color w:val="231F20"/>
          <w:sz w:val="20"/>
        </w:rPr>
        <w:t>nature.</w:t>
      </w:r>
    </w:p>
    <w:p>
      <w:pPr>
        <w:pStyle w:val="TextBody"/>
        <w:bidi w:val="0"/>
        <w:spacing w:lineRule="auto" w:line="288" w:before="240" w:after="283"/>
        <w:jc w:val="left"/>
        <w:rPr/>
      </w:pPr>
      <w:r>
        <w:rPr>
          <w:rFonts w:ascii="Arial;sans-serif" w:hAnsi="Arial;sans-serif"/>
          <w:b/>
          <w:i/>
          <w:color w:val="231F20"/>
          <w:sz w:val="20"/>
        </w:rPr>
        <w:t>Accounts</w:t>
      </w:r>
      <w:r>
        <w:rPr>
          <w:color w:val="231F20"/>
        </w:rPr>
        <w:t xml:space="preserve"> </w:t>
      </w:r>
      <w:r>
        <w:rPr>
          <w:rFonts w:ascii="Arial;sans-serif" w:hAnsi="Arial;sans-serif"/>
          <w:b/>
          <w:i/>
          <w:color w:val="231F20"/>
          <w:sz w:val="20"/>
        </w:rPr>
        <w:t>Receivable,</w:t>
      </w:r>
      <w:r>
        <w:rPr>
          <w:color w:val="231F20"/>
        </w:rPr>
        <w:t xml:space="preserve"> </w:t>
      </w:r>
      <w:r>
        <w:rPr>
          <w:rFonts w:ascii="Arial;sans-serif" w:hAnsi="Arial;sans-serif"/>
          <w:b/>
          <w:i/>
          <w:color w:val="231F20"/>
          <w:sz w:val="20"/>
        </w:rPr>
        <w:t>Net</w:t>
      </w:r>
    </w:p>
    <w:p>
      <w:pPr>
        <w:pStyle w:val="TextBody"/>
        <w:bidi w:val="0"/>
        <w:spacing w:lineRule="auto" w:line="288" w:before="240" w:after="283"/>
        <w:ind w:left="0" w:right="0" w:firstLine="450"/>
        <w:jc w:val="left"/>
        <w:rPr/>
      </w:pP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w:t>
      </w:r>
      <w:r>
        <w:rPr>
          <w:color w:val="231F20"/>
        </w:rPr>
        <w:t xml:space="preserve"> </w:t>
      </w:r>
      <w:r>
        <w:rPr>
          <w:rFonts w:ascii="Arial;sans-serif" w:hAnsi="Arial;sans-serif"/>
          <w:b w:val="false"/>
          <w:color w:val="231F20"/>
          <w:sz w:val="20"/>
        </w:rPr>
        <w:t>represent</w:t>
      </w:r>
      <w:r>
        <w:rPr>
          <w:color w:val="231F20"/>
        </w:rPr>
        <w:t xml:space="preserve"> </w:t>
      </w:r>
      <w:r>
        <w:rPr>
          <w:rFonts w:ascii="Arial;sans-serif" w:hAnsi="Arial;sans-serif"/>
          <w:b w:val="false"/>
          <w:color w:val="231F20"/>
          <w:sz w:val="20"/>
        </w:rPr>
        <w:t>unconditional</w:t>
      </w:r>
      <w:r>
        <w:rPr>
          <w:color w:val="231F20"/>
        </w:rPr>
        <w:t xml:space="preserve"> </w:t>
      </w:r>
      <w:r>
        <w:rPr>
          <w:rFonts w:ascii="Arial;sans-serif" w:hAnsi="Arial;sans-serif"/>
          <w:b w:val="false"/>
          <w:color w:val="231F20"/>
          <w:sz w:val="20"/>
        </w:rPr>
        <w:t>rights</w:t>
      </w:r>
      <w:r>
        <w:rPr>
          <w:color w:val="231F20"/>
        </w:rPr>
        <w:t xml:space="preserve"> </w:t>
      </w:r>
      <w:r>
        <w:rPr>
          <w:rFonts w:ascii="Arial;sans-serif" w:hAnsi="Arial;sans-serif"/>
          <w:b w:val="false"/>
          <w:color w:val="231F20"/>
          <w:sz w:val="20"/>
        </w:rPr>
        <w:t>to consideration</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customers.</w:t>
      </w:r>
      <w:r>
        <w:rPr>
          <w:color w:val="231F20"/>
        </w:rPr>
        <w:t xml:space="preserve"> </w:t>
      </w:r>
      <w:r>
        <w:rPr>
          <w:rFonts w:ascii="Arial;sans-serif" w:hAnsi="Arial;sans-serif"/>
          <w:b w:val="false"/>
          <w:color w:val="231F20"/>
          <w:sz w:val="20"/>
        </w:rPr>
        <w:t>Accounts</w:t>
      </w:r>
      <w:r>
        <w:rPr>
          <w:color w:val="231F20"/>
        </w:rPr>
        <w:t xml:space="preserve"> </w:t>
      </w:r>
      <w:r>
        <w:rPr>
          <w:rFonts w:ascii="Arial;sans-serif" w:hAnsi="Arial;sans-serif"/>
          <w:b w:val="false"/>
          <w:color w:val="231F20"/>
          <w:sz w:val="20"/>
        </w:rPr>
        <w:t>receivable are</w:t>
      </w:r>
      <w:r>
        <w:rPr>
          <w:color w:val="231F20"/>
        </w:rPr>
        <w:t xml:space="preserve"> </w:t>
      </w:r>
      <w:r>
        <w:rPr>
          <w:rFonts w:ascii="Arial;sans-serif" w:hAnsi="Arial;sans-serif"/>
          <w:b w:val="false"/>
          <w:color w:val="231F20"/>
          <w:sz w:val="20"/>
        </w:rPr>
        <w:t>evaluated</w:t>
      </w:r>
      <w:r>
        <w:rPr>
          <w:color w:val="231F20"/>
        </w:rPr>
        <w:t xml:space="preserve"> </w:t>
      </w:r>
      <w:r>
        <w:rPr>
          <w:rFonts w:ascii="Arial;sans-serif" w:hAnsi="Arial;sans-serif"/>
          <w:b w:val="false"/>
          <w:color w:val="231F20"/>
          <w:sz w:val="20"/>
        </w:rPr>
        <w:t>regularly</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collectability</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potential</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losses.</w:t>
      </w:r>
      <w:r>
        <w:rPr>
          <w:color w:val="231F20"/>
        </w:rPr>
        <w:t xml:space="preserve"> </w:t>
      </w:r>
      <w:r>
        <w:rPr>
          <w:rFonts w:ascii="Arial;sans-serif" w:hAnsi="Arial;sans-serif"/>
          <w:b w:val="false"/>
          <w:color w:val="231F20"/>
          <w:sz w:val="20"/>
        </w:rPr>
        <w:t>Allowance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credit</w:t>
      </w:r>
      <w:r>
        <w:rPr>
          <w:color w:val="231F20"/>
        </w:rPr>
        <w:t xml:space="preserve"> </w:t>
      </w:r>
      <w:r>
        <w:rPr>
          <w:rFonts w:ascii="Arial;sans-serif" w:hAnsi="Arial;sans-serif"/>
          <w:b w:val="false"/>
          <w:color w:val="231F20"/>
          <w:sz w:val="20"/>
        </w:rPr>
        <w:t>losses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estimated based</w:t>
      </w:r>
      <w:r>
        <w:rPr>
          <w:color w:val="231F20"/>
        </w:rPr>
        <w:t xml:space="preserve"> </w:t>
      </w:r>
      <w:r>
        <w:rPr>
          <w:rFonts w:ascii="Arial;sans-serif" w:hAnsi="Arial;sans-serif"/>
          <w:b w:val="false"/>
          <w:color w:val="231F20"/>
          <w:sz w:val="20"/>
        </w:rPr>
        <w:t>on management’s</w:t>
      </w:r>
      <w:r>
        <w:rPr>
          <w:color w:val="231F20"/>
        </w:rPr>
        <w:t xml:space="preserve"> </w:t>
      </w:r>
      <w:r>
        <w:rPr>
          <w:rFonts w:ascii="Arial;sans-serif" w:hAnsi="Arial;sans-serif"/>
          <w:b w:val="false"/>
          <w:color w:val="231F20"/>
          <w:sz w:val="20"/>
        </w:rPr>
        <w:t>assessment</w:t>
      </w:r>
      <w:r>
        <w:rPr>
          <w:color w:val="231F20"/>
        </w:rPr>
        <w:t xml:space="preserve"> </w:t>
      </w:r>
      <w:r>
        <w:rPr>
          <w:rFonts w:ascii="Arial;sans-serif" w:hAnsi="Arial;sans-serif"/>
          <w:b w:val="false"/>
          <w:color w:val="231F20"/>
          <w:sz w:val="20"/>
        </w:rPr>
        <w:t>of historical</w:t>
      </w:r>
      <w:r>
        <w:rPr>
          <w:color w:val="231F20"/>
        </w:rPr>
        <w:t xml:space="preserve"> </w:t>
      </w:r>
      <w:r>
        <w:rPr>
          <w:rFonts w:ascii="Arial;sans-serif" w:hAnsi="Arial;sans-serif"/>
          <w:b w:val="false"/>
          <w:color w:val="231F20"/>
          <w:sz w:val="20"/>
        </w:rPr>
        <w:t>collection</w:t>
      </w:r>
      <w:r>
        <w:rPr>
          <w:color w:val="231F20"/>
        </w:rPr>
        <w:t xml:space="preserve"> </w:t>
      </w:r>
      <w:r>
        <w:rPr>
          <w:rFonts w:ascii="Arial;sans-serif" w:hAnsi="Arial;sans-serif"/>
          <w:b w:val="false"/>
          <w:color w:val="231F20"/>
          <w:sz w:val="20"/>
        </w:rPr>
        <w:t>trends</w:t>
      </w:r>
      <w:r>
        <w:rPr>
          <w:color w:val="231F20"/>
        </w:rPr>
        <w:t xml:space="preserve"> </w:t>
      </w:r>
      <w:r>
        <w:rPr>
          <w:rFonts w:ascii="Arial;sans-serif" w:hAnsi="Arial;sans-serif"/>
          <w:b w:val="false"/>
          <w:color w:val="231F20"/>
          <w:sz w:val="20"/>
        </w:rPr>
        <w:t>and the</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conditions</w:t>
      </w:r>
      <w:r>
        <w:rPr>
          <w:color w:val="231F20"/>
        </w:rPr>
        <w:t xml:space="preserve"> </w:t>
      </w:r>
      <w:r>
        <w:rPr>
          <w:rFonts w:ascii="Arial;sans-serif" w:hAnsi="Arial;sans-serif"/>
          <w:b w:val="false"/>
          <w:color w:val="231F20"/>
          <w:sz w:val="20"/>
        </w:rPr>
        <w:t>of customers, among other factors. These reserves are re-evaluated on a regular basis and adjusted, as needed. Once a receivable is deemed to be uncollectible, the receivable balance is charged against the reserve.</w:t>
      </w:r>
      <w:r>
        <w:rPr>
          <w:color w:val="231F20"/>
        </w:rPr>
        <w:t xml:space="preserve"> </w:t>
      </w:r>
      <w:r>
        <w:rPr>
          <w:rFonts w:ascii="Arial;sans-serif" w:hAnsi="Arial;sans-serif"/>
          <w:b w:val="false"/>
          <w:color w:val="231F20"/>
          <w:sz w:val="20"/>
        </w:rPr>
        <w:t>As of December 31, 2025, and December 31, 2024, the Company had $3.6 million and $3.8 million of allowance for credit losses.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Supplies</w:t>
      </w:r>
    </w:p>
    <w:p>
      <w:pPr>
        <w:pStyle w:val="TextBody"/>
        <w:bidi w:val="0"/>
        <w:spacing w:lineRule="auto" w:line="288" w:before="240" w:after="283"/>
        <w:ind w:left="0" w:right="0" w:firstLine="450"/>
        <w:jc w:val="left"/>
        <w:rPr/>
      </w:pPr>
      <w:r>
        <w:rPr>
          <w:rFonts w:ascii="Arial;sans-serif" w:hAnsi="Arial;sans-serif"/>
          <w:b w:val="false"/>
          <w:color w:val="231F20"/>
          <w:sz w:val="20"/>
        </w:rPr>
        <w:t>Supplies</w:t>
      </w:r>
      <w:r>
        <w:rPr>
          <w:color w:val="231F20"/>
        </w:rPr>
        <w:t xml:space="preserve"> </w:t>
      </w:r>
      <w:r>
        <w:rPr>
          <w:rFonts w:ascii="Arial;sans-serif" w:hAnsi="Arial;sans-serif"/>
          <w:b w:val="false"/>
          <w:color w:val="231F20"/>
          <w:sz w:val="20"/>
        </w:rPr>
        <w:t>consists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materials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reagents</w:t>
      </w:r>
      <w:r>
        <w:rPr>
          <w:color w:val="231F20"/>
        </w:rPr>
        <w:t xml:space="preserve"> </w:t>
      </w:r>
      <w:r>
        <w:rPr>
          <w:rFonts w:ascii="Arial;sans-serif" w:hAnsi="Arial;sans-serif"/>
          <w:b w:val="false"/>
          <w:color w:val="231F20"/>
          <w:sz w:val="20"/>
        </w:rPr>
        <w:t>consumed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 periodically</w:t>
      </w:r>
      <w:r>
        <w:rPr>
          <w:color w:val="231F20"/>
        </w:rPr>
        <w:t xml:space="preserve"> </w:t>
      </w:r>
      <w:r>
        <w:rPr>
          <w:rFonts w:ascii="Arial;sans-serif" w:hAnsi="Arial;sans-serif"/>
          <w:b w:val="false"/>
          <w:color w:val="231F20"/>
          <w:sz w:val="20"/>
        </w:rPr>
        <w:t>analyzes</w:t>
      </w:r>
      <w:r>
        <w:rPr>
          <w:color w:val="231F20"/>
        </w:rPr>
        <w:t xml:space="preserve"> </w:t>
      </w:r>
      <w:r>
        <w:rPr>
          <w:rFonts w:ascii="Arial;sans-serif" w:hAnsi="Arial;sans-serif"/>
          <w:b w:val="false"/>
          <w:color w:val="231F20"/>
          <w:sz w:val="20"/>
        </w:rPr>
        <w:t>supply</w:t>
      </w:r>
      <w:r>
        <w:rPr>
          <w:color w:val="231F20"/>
        </w:rPr>
        <w:t xml:space="preserve"> </w:t>
      </w:r>
      <w:r>
        <w:rPr>
          <w:rFonts w:ascii="Arial;sans-serif" w:hAnsi="Arial;sans-serif"/>
          <w:b w:val="false"/>
          <w:color w:val="231F20"/>
          <w:sz w:val="20"/>
        </w:rPr>
        <w:t>levels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expiration</w:t>
      </w:r>
      <w:r>
        <w:rPr>
          <w:color w:val="231F20"/>
        </w:rPr>
        <w:t xml:space="preserve"> </w:t>
      </w:r>
      <w:r>
        <w:rPr>
          <w:rFonts w:ascii="Arial;sans-serif" w:hAnsi="Arial;sans-serif"/>
          <w:b w:val="false"/>
          <w:color w:val="231F20"/>
          <w:sz w:val="20"/>
        </w:rPr>
        <w:t>dates,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writes</w:t>
      </w:r>
      <w:r>
        <w:rPr>
          <w:color w:val="231F20"/>
        </w:rPr>
        <w:t xml:space="preserve"> </w:t>
      </w:r>
      <w:r>
        <w:rPr>
          <w:rFonts w:ascii="Arial;sans-serif" w:hAnsi="Arial;sans-serif"/>
          <w:b w:val="false"/>
          <w:color w:val="231F20"/>
          <w:sz w:val="20"/>
        </w:rPr>
        <w:t>down supply</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become</w:t>
      </w:r>
      <w:r>
        <w:rPr>
          <w:color w:val="231F20"/>
        </w:rPr>
        <w:t xml:space="preserve"> </w:t>
      </w:r>
      <w:r>
        <w:rPr>
          <w:rFonts w:ascii="Arial;sans-serif" w:hAnsi="Arial;sans-serif"/>
          <w:b w:val="false"/>
          <w:color w:val="231F20"/>
          <w:sz w:val="20"/>
        </w:rPr>
        <w:t>obsolete</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that has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basis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excess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sales</w:t>
      </w:r>
      <w:r>
        <w:rPr>
          <w:color w:val="231F20"/>
        </w:rPr>
        <w:t xml:space="preserve"> </w:t>
      </w:r>
      <w:r>
        <w:rPr>
          <w:rFonts w:ascii="Arial;sans-serif" w:hAnsi="Arial;sans-serif"/>
          <w:b w:val="false"/>
          <w:color w:val="231F20"/>
          <w:sz w:val="20"/>
        </w:rPr>
        <w:t>requirements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records</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allowance for</w:t>
      </w:r>
      <w:r>
        <w:rPr>
          <w:color w:val="231F20"/>
        </w:rPr>
        <w:t xml:space="preserve"> </w:t>
      </w:r>
      <w:r>
        <w:rPr>
          <w:rFonts w:ascii="Arial;sans-serif" w:hAnsi="Arial;sans-serif"/>
          <w:b w:val="false"/>
          <w:color w:val="231F20"/>
          <w:sz w:val="20"/>
        </w:rPr>
        <w:t>excess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obsolete</w:t>
      </w:r>
      <w:r>
        <w:rPr>
          <w:color w:val="231F20"/>
        </w:rPr>
        <w:t xml:space="preserve"> </w:t>
      </w:r>
      <w:r>
        <w:rPr>
          <w:rFonts w:ascii="Arial;sans-serif" w:hAnsi="Arial;sans-serif"/>
          <w:b w:val="false"/>
          <w:color w:val="231F20"/>
          <w:sz w:val="20"/>
        </w:rPr>
        <w:t>supplies</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estimate</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historical</w:t>
      </w:r>
      <w:r>
        <w:rPr>
          <w:color w:val="231F20"/>
        </w:rPr>
        <w:t xml:space="preserve"> </w:t>
      </w:r>
      <w:r>
        <w:rPr>
          <w:rFonts w:ascii="Arial;sans-serif" w:hAnsi="Arial;sans-serif"/>
          <w:b w:val="false"/>
          <w:color w:val="231F20"/>
          <w:sz w:val="20"/>
        </w:rPr>
        <w:t>trends, usage forecasts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evaluation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near-term expirations.</w:t>
      </w:r>
      <w:r>
        <w:rPr>
          <w:color w:val="231F20"/>
        </w:rPr>
        <w:t xml:space="preserve"> </w:t>
      </w:r>
    </w:p>
    <w:p>
      <w:pPr>
        <w:pStyle w:val="TextBody"/>
        <w:bidi w:val="0"/>
        <w:spacing w:lineRule="auto" w:line="288" w:before="240" w:after="283"/>
        <w:jc w:val="left"/>
        <w:rPr/>
      </w:pPr>
      <w:r>
        <w:rPr>
          <w:rFonts w:ascii="Arial;sans-serif" w:hAnsi="Arial;sans-serif"/>
          <w:b/>
          <w:i/>
          <w:color w:val="231F20"/>
          <w:sz w:val="20"/>
        </w:rPr>
        <w:t>Property</w:t>
      </w:r>
      <w:r>
        <w:rPr>
          <w:color w:val="231F20"/>
        </w:rPr>
        <w:t xml:space="preserve"> </w:t>
      </w:r>
      <w:r>
        <w:rPr>
          <w:rFonts w:ascii="Arial;sans-serif" w:hAnsi="Arial;sans-serif"/>
          <w:b/>
          <w:i/>
          <w:color w:val="231F20"/>
          <w:sz w:val="20"/>
        </w:rPr>
        <w:t>and Equipment,</w:t>
      </w:r>
      <w:r>
        <w:rPr>
          <w:color w:val="231F20"/>
        </w:rPr>
        <w:t xml:space="preserve"> </w:t>
      </w:r>
      <w:r>
        <w:rPr>
          <w:rFonts w:ascii="Arial;sans-serif" w:hAnsi="Arial;sans-serif"/>
          <w:b/>
          <w:i/>
          <w:color w:val="231F20"/>
          <w:sz w:val="20"/>
        </w:rPr>
        <w:t>Net</w:t>
      </w:r>
    </w:p>
    <w:p>
      <w:pPr>
        <w:pStyle w:val="TextBody"/>
        <w:bidi w:val="0"/>
        <w:spacing w:lineRule="auto" w:line="288" w:before="240" w:after="283"/>
        <w:ind w:left="0" w:right="0" w:firstLine="450"/>
        <w:jc w:val="left"/>
        <w:rPr/>
      </w:pP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equipment,</w:t>
      </w:r>
      <w:r>
        <w:rPr>
          <w:color w:val="231F20"/>
        </w:rPr>
        <w:t xml:space="preserve"> </w:t>
      </w:r>
      <w:r>
        <w:rPr>
          <w:rFonts w:ascii="Arial;sans-serif" w:hAnsi="Arial;sans-serif"/>
          <w:b w:val="false"/>
          <w:color w:val="231F20"/>
          <w:sz w:val="20"/>
        </w:rPr>
        <w:t>net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stated</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less</w:t>
      </w:r>
      <w:r>
        <w:rPr>
          <w:color w:val="231F20"/>
        </w:rPr>
        <w:t xml:space="preserve"> </w:t>
      </w:r>
      <w:r>
        <w:rPr>
          <w:rFonts w:ascii="Arial;sans-serif" w:hAnsi="Arial;sans-serif"/>
          <w:b w:val="false"/>
          <w:color w:val="231F20"/>
          <w:sz w:val="20"/>
        </w:rPr>
        <w:t>accumulated</w:t>
      </w:r>
      <w:r>
        <w:rPr>
          <w:color w:val="231F20"/>
        </w:rPr>
        <w:t xml:space="preserve"> </w:t>
      </w:r>
      <w:r>
        <w:rPr>
          <w:rFonts w:ascii="Arial;sans-serif" w:hAnsi="Arial;sans-serif"/>
          <w:b w:val="false"/>
          <w:color w:val="231F20"/>
          <w:sz w:val="20"/>
        </w:rPr>
        <w:t>depreciation</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amortization.</w:t>
      </w:r>
      <w:r>
        <w:rPr>
          <w:color w:val="231F20"/>
        </w:rPr>
        <w:t xml:space="preserve"> </w:t>
      </w:r>
      <w:r>
        <w:rPr>
          <w:rFonts w:ascii="Arial;sans-serif" w:hAnsi="Arial;sans-serif"/>
          <w:b w:val="false"/>
          <w:color w:val="231F20"/>
          <w:sz w:val="20"/>
        </w:rPr>
        <w:t>Depreciation</w:t>
      </w:r>
      <w:r>
        <w:rPr>
          <w:color w:val="231F20"/>
        </w:rPr>
        <w:t xml:space="preserve"> </w:t>
      </w:r>
      <w:r>
        <w:rPr>
          <w:rFonts w:ascii="Arial;sans-serif" w:hAnsi="Arial;sans-serif"/>
          <w:b w:val="false"/>
          <w:color w:val="231F20"/>
          <w:sz w:val="20"/>
        </w:rPr>
        <w:t>is calculated</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straight-line</w:t>
      </w:r>
      <w:r>
        <w:rPr>
          <w:color w:val="231F20"/>
        </w:rPr>
        <w:t xml:space="preserve"> </w:t>
      </w:r>
      <w:r>
        <w:rPr>
          <w:rFonts w:ascii="Arial;sans-serif" w:hAnsi="Arial;sans-serif"/>
          <w:b w:val="false"/>
          <w:color w:val="231F20"/>
          <w:sz w:val="20"/>
        </w:rPr>
        <w:t>method</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useful</w:t>
      </w:r>
      <w:r>
        <w:rPr>
          <w:color w:val="231F20"/>
        </w:rPr>
        <w:t xml:space="preserve"> </w:t>
      </w:r>
      <w:r>
        <w:rPr>
          <w:rFonts w:ascii="Arial;sans-serif" w:hAnsi="Arial;sans-serif"/>
          <w:b w:val="false"/>
          <w:color w:val="231F20"/>
          <w:sz w:val="20"/>
        </w:rPr>
        <w:t>lives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Leasehold</w:t>
      </w:r>
      <w:r>
        <w:rPr>
          <w:color w:val="231F20"/>
        </w:rPr>
        <w:t xml:space="preserve"> </w:t>
      </w:r>
      <w:r>
        <w:rPr>
          <w:rFonts w:ascii="Arial;sans-serif" w:hAnsi="Arial;sans-serif"/>
          <w:b w:val="false"/>
          <w:color w:val="231F20"/>
          <w:sz w:val="20"/>
        </w:rPr>
        <w:t>improvements are</w:t>
      </w:r>
      <w:r>
        <w:rPr>
          <w:color w:val="231F20"/>
        </w:rPr>
        <w:t xml:space="preserve"> </w:t>
      </w:r>
      <w:r>
        <w:rPr>
          <w:rFonts w:ascii="Arial;sans-serif" w:hAnsi="Arial;sans-serif"/>
          <w:b w:val="false"/>
          <w:color w:val="231F20"/>
          <w:sz w:val="20"/>
        </w:rPr>
        <w:t>amortized</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straight-line</w:t>
      </w:r>
      <w:r>
        <w:rPr>
          <w:color w:val="231F20"/>
        </w:rPr>
        <w:t xml:space="preserve"> </w:t>
      </w:r>
      <w:r>
        <w:rPr>
          <w:rFonts w:ascii="Arial;sans-serif" w:hAnsi="Arial;sans-serif"/>
          <w:b w:val="false"/>
          <w:color w:val="231F20"/>
          <w:sz w:val="20"/>
        </w:rPr>
        <w:t>method</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shorter</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useful</w:t>
      </w:r>
      <w:r>
        <w:rPr>
          <w:color w:val="231F20"/>
        </w:rPr>
        <w:t xml:space="preserve"> </w:t>
      </w:r>
      <w:r>
        <w:rPr>
          <w:rFonts w:ascii="Arial;sans-serif" w:hAnsi="Arial;sans-serif"/>
          <w:b w:val="false"/>
          <w:color w:val="231F20"/>
          <w:sz w:val="20"/>
        </w:rPr>
        <w:t>life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 improvements.</w:t>
      </w:r>
      <w:r>
        <w:rPr>
          <w:color w:val="231F20"/>
        </w:rPr>
        <w:t xml:space="preserve"> </w:t>
      </w:r>
      <w:r>
        <w:rPr>
          <w:rFonts w:ascii="Arial;sans-serif" w:hAnsi="Arial;sans-serif"/>
          <w:b w:val="false"/>
          <w:color w:val="231F20"/>
          <w:sz w:val="20"/>
        </w:rPr>
        <w:t>Repair</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maintenance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expensed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item</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sold</w:t>
      </w:r>
      <w:r>
        <w:rPr>
          <w:color w:val="231F20"/>
        </w:rPr>
        <w:t xml:space="preserve"> </w:t>
      </w:r>
      <w:r>
        <w:rPr>
          <w:rFonts w:ascii="Arial;sans-serif" w:hAnsi="Arial;sans-serif"/>
          <w:b w:val="false"/>
          <w:color w:val="231F20"/>
          <w:sz w:val="20"/>
        </w:rPr>
        <w:t>or disposed</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accumulated</w:t>
      </w:r>
      <w:r>
        <w:rPr>
          <w:color w:val="231F20"/>
        </w:rPr>
        <w:t xml:space="preserve"> </w:t>
      </w:r>
      <w:r>
        <w:rPr>
          <w:rFonts w:ascii="Arial;sans-serif" w:hAnsi="Arial;sans-serif"/>
          <w:b w:val="false"/>
          <w:color w:val="231F20"/>
          <w:sz w:val="20"/>
        </w:rPr>
        <w:t>depreciation</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amortization</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eliminated</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resulting</w:t>
      </w:r>
      <w:r>
        <w:rPr>
          <w:color w:val="231F20"/>
        </w:rPr>
        <w:t xml:space="preserve"> </w:t>
      </w:r>
      <w:r>
        <w:rPr>
          <w:rFonts w:ascii="Arial;sans-serif" w:hAnsi="Arial;sans-serif"/>
          <w:b w:val="false"/>
          <w:color w:val="231F20"/>
          <w:sz w:val="20"/>
        </w:rPr>
        <w:t>gain</w:t>
      </w:r>
      <w:r>
        <w:rPr>
          <w:color w:val="231F20"/>
        </w:rPr>
        <w:t xml:space="preserve"> </w:t>
      </w:r>
      <w:r>
        <w:rPr>
          <w:rFonts w:ascii="Arial;sans-serif" w:hAnsi="Arial;sans-serif"/>
          <w:b w:val="false"/>
          <w:color w:val="231F20"/>
          <w:sz w:val="20"/>
        </w:rPr>
        <w:t>or loss,</w:t>
      </w:r>
      <w:r>
        <w:rPr>
          <w:color w:val="231F20"/>
        </w:rPr>
        <w:t xml:space="preserve"> </w:t>
      </w:r>
      <w:r>
        <w:rPr>
          <w:rFonts w:ascii="Arial;sans-serif" w:hAnsi="Arial;sans-serif"/>
          <w:b w:val="false"/>
          <w:color w:val="231F20"/>
          <w:sz w:val="20"/>
        </w:rPr>
        <w:t>if</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recorded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operations.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useful</w:t>
      </w:r>
      <w:r>
        <w:rPr>
          <w:color w:val="231F20"/>
        </w:rPr>
        <w:t xml:space="preserve"> </w:t>
      </w:r>
      <w:r>
        <w:rPr>
          <w:rFonts w:ascii="Arial;sans-serif" w:hAnsi="Arial;sans-serif"/>
          <w:b w:val="false"/>
          <w:color w:val="231F20"/>
          <w:sz w:val="20"/>
        </w:rPr>
        <w:t>lives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major</w:t>
      </w:r>
      <w:r>
        <w:rPr>
          <w:color w:val="231F20"/>
        </w:rPr>
        <w:t xml:space="preserve"> </w:t>
      </w:r>
      <w:r>
        <w:rPr>
          <w:rFonts w:ascii="Arial;sans-serif" w:hAnsi="Arial;sans-serif"/>
          <w:b w:val="false"/>
          <w:color w:val="231F20"/>
          <w:sz w:val="20"/>
        </w:rPr>
        <w:t>classes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equipment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3989" w:type="dxa"/>
        <w:jc w:val="center"/>
        <w:tblInd w:w="0" w:type="dxa"/>
        <w:tblLayout w:type="fixed"/>
        <w:tblCellMar>
          <w:top w:w="28" w:type="dxa"/>
          <w:left w:w="28" w:type="dxa"/>
          <w:bottom w:w="28" w:type="dxa"/>
          <w:right w:w="28" w:type="dxa"/>
        </w:tblCellMar>
      </w:tblPr>
      <w:tblGrid>
        <w:gridCol w:w="793"/>
        <w:gridCol w:w="697"/>
        <w:gridCol w:w="700"/>
        <w:gridCol w:w="525"/>
        <w:gridCol w:w="525"/>
        <w:gridCol w:w="749"/>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Useful Life (in Years)</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Laboratory equipment</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8"/>
              </w:rPr>
            </w:pPr>
            <w:r>
              <w:rPr>
                <w:rFonts w:ascii="Arial;sans-serif" w:hAnsi="Arial;sans-serif"/>
                <w:b w:val="false"/>
                <w:color w:val="231F20"/>
                <w:sz w:val="18"/>
              </w:rPr>
              <w:t>3 to 5</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Computer hardware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Computer software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Furniture and fixtures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Leasehold improvements</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Lease Term</w:t>
            </w:r>
          </w:p>
        </w:tc>
      </w:tr>
    </w:tbl>
    <w:p>
      <w:pPr>
        <w:pStyle w:val="TextBody"/>
        <w:bidi w:val="0"/>
        <w:spacing w:lineRule="auto" w:line="288" w:before="240" w:after="283"/>
        <w:jc w:val="left"/>
        <w:rPr>
          <w:rFonts w:ascii="Arial;sans-serif" w:hAnsi="Arial;sans-serif"/>
          <w:b/>
          <w:i/>
          <w:color w:val="231F20"/>
          <w:sz w:val="20"/>
          <w:shd w:fill="FFFFFF" w:val="clear"/>
        </w:rPr>
      </w:pPr>
      <w:r>
        <w:rPr>
          <w:rFonts w:ascii="Arial;sans-serif" w:hAnsi="Arial;sans-serif"/>
          <w:b/>
          <w:i/>
          <w:color w:val="231F20"/>
          <w:sz w:val="20"/>
          <w:shd w:fill="FFFFFF" w:val="clear"/>
        </w:rPr>
        <w:t>Leases</w:t>
      </w:r>
    </w:p>
    <w:p>
      <w:pPr>
        <w:pStyle w:val="TextBody"/>
        <w:bidi w:val="0"/>
        <w:spacing w:lineRule="auto" w:line="288" w:before="240" w:after="283"/>
        <w:ind w:left="0" w:right="0" w:firstLine="450"/>
        <w:jc w:val="both"/>
        <w:rPr/>
      </w:pP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classified</w:t>
      </w:r>
      <w:r>
        <w:rPr>
          <w:color w:val="231F20"/>
        </w:rPr>
        <w:t xml:space="preserve"> </w:t>
      </w:r>
      <w:r>
        <w:rPr>
          <w:rFonts w:ascii="Arial;sans-serif" w:hAnsi="Arial;sans-serif"/>
          <w:b w:val="false"/>
          <w:color w:val="231F20"/>
          <w:sz w:val="20"/>
        </w:rPr>
        <w:t>as operating</w:t>
      </w:r>
      <w:r>
        <w:rPr>
          <w:color w:val="231F20"/>
        </w:rPr>
        <w:t xml:space="preserve"> </w:t>
      </w:r>
      <w:r>
        <w:rPr>
          <w:rFonts w:ascii="Arial;sans-serif" w:hAnsi="Arial;sans-serif"/>
          <w:b w:val="false"/>
          <w:color w:val="231F20"/>
          <w:sz w:val="20"/>
        </w:rPr>
        <w:t>or financing</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inception</w:t>
      </w:r>
      <w:r>
        <w:rPr>
          <w:color w:val="231F20"/>
        </w:rPr>
        <w:t xml:space="preserve"> </w:t>
      </w:r>
      <w:r>
        <w:rPr>
          <w:rFonts w:ascii="Arial;sans-serif" w:hAnsi="Arial;sans-serif"/>
          <w:b w:val="false"/>
          <w:color w:val="231F20"/>
          <w:sz w:val="20"/>
        </w:rPr>
        <w:t>and, as necessary,</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modification.</w:t>
      </w:r>
      <w:r>
        <w:rPr>
          <w:color w:val="231F20"/>
        </w:rPr>
        <w:t xml:space="preserve"> </w:t>
      </w:r>
      <w:r>
        <w:rPr>
          <w:rFonts w:ascii="Arial;sans-serif" w:hAnsi="Arial;sans-serif"/>
          <w:b w:val="false"/>
          <w:color w:val="231F20"/>
          <w:sz w:val="20"/>
        </w:rPr>
        <w:t>Leased assets represent the Company’s right to use an underlying asset for the lease term and lease liabilities</w:t>
      </w:r>
      <w:r>
        <w:rPr>
          <w:color w:val="231F20"/>
        </w:rPr>
        <w:t xml:space="preserve"> </w:t>
      </w:r>
      <w:r>
        <w:rPr>
          <w:rFonts w:ascii="Arial;sans-serif" w:hAnsi="Arial;sans-serif"/>
          <w:b w:val="false"/>
          <w:color w:val="231F20"/>
          <w:sz w:val="20"/>
        </w:rPr>
        <w:t>represent its</w:t>
      </w:r>
      <w:r>
        <w:rPr>
          <w:color w:val="231F20"/>
        </w:rPr>
        <w:t xml:space="preserve"> </w:t>
      </w:r>
      <w:r>
        <w:rPr>
          <w:rFonts w:ascii="Arial;sans-serif" w:hAnsi="Arial;sans-serif"/>
          <w:b w:val="false"/>
          <w:color w:val="231F20"/>
          <w:sz w:val="20"/>
        </w:rPr>
        <w:t>obligation</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make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arising</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83845"/>
                <wp:effectExtent l="0" t="0" r="0" b="0"/>
                <wp:wrapNone/>
                <wp:docPr id="175" name="Frame16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pP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included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right-of-use</w:t>
      </w:r>
      <w:r>
        <w:rPr>
          <w:color w:val="231F20"/>
        </w:rPr>
        <w:t xml:space="preserve"> </w:t>
      </w:r>
      <w:r>
        <w:rPr>
          <w:rFonts w:ascii="Arial;sans-serif" w:hAnsi="Arial;sans-serif"/>
          <w:b w:val="false"/>
          <w:color w:val="231F20"/>
          <w:sz w:val="20"/>
        </w:rPr>
        <w:t>(“ROU”) assets</w:t>
      </w:r>
      <w:r>
        <w:rPr>
          <w:color w:val="231F20"/>
        </w:rPr>
        <w:t xml:space="preserve"> </w:t>
      </w:r>
      <w:r>
        <w:rPr>
          <w:rFonts w:ascii="Arial;sans-serif" w:hAnsi="Arial;sans-serif"/>
          <w:b w:val="false"/>
          <w:color w:val="231F20"/>
          <w:sz w:val="20"/>
        </w:rPr>
        <w:t>and operating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liabilities 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sheets.</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ROU</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 commencement</w:t>
      </w:r>
      <w:r>
        <w:rPr>
          <w:color w:val="231F20"/>
        </w:rPr>
        <w:t xml:space="preserve"> </w:t>
      </w:r>
      <w:r>
        <w:rPr>
          <w:rFonts w:ascii="Arial;sans-serif" w:hAnsi="Arial;sans-serif"/>
          <w:b w:val="false"/>
          <w:color w:val="231F20"/>
          <w:sz w:val="20"/>
        </w:rPr>
        <w:t>date</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present</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readily determinable,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uses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implicit</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discount</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however,</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rate is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readily</w:t>
      </w:r>
      <w:r>
        <w:rPr>
          <w:color w:val="231F20"/>
        </w:rPr>
        <w:t xml:space="preserve"> </w:t>
      </w:r>
      <w:r>
        <w:rPr>
          <w:rFonts w:ascii="Arial;sans-serif" w:hAnsi="Arial;sans-serif"/>
          <w:b w:val="false"/>
          <w:color w:val="231F20"/>
          <w:sz w:val="20"/>
        </w:rPr>
        <w:t>determinable,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uses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incremental</w:t>
      </w:r>
      <w:r>
        <w:rPr>
          <w:color w:val="231F20"/>
        </w:rPr>
        <w:t xml:space="preserve"> </w:t>
      </w:r>
      <w:r>
        <w:rPr>
          <w:rFonts w:ascii="Arial;sans-serif" w:hAnsi="Arial;sans-serif"/>
          <w:b w:val="false"/>
          <w:color w:val="231F20"/>
          <w:sz w:val="20"/>
        </w:rPr>
        <w:t>borrowing</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information</w:t>
      </w:r>
      <w:r>
        <w:rPr>
          <w:color w:val="231F20"/>
        </w:rPr>
        <w:t xml:space="preserve"> </w:t>
      </w:r>
      <w:r>
        <w:rPr>
          <w:rFonts w:ascii="Arial;sans-serif" w:hAnsi="Arial;sans-serif"/>
          <w:b w:val="false"/>
          <w:color w:val="231F20"/>
          <w:sz w:val="20"/>
        </w:rPr>
        <w:t>available 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commencement</w:t>
      </w:r>
      <w:r>
        <w:rPr>
          <w:color w:val="231F20"/>
        </w:rPr>
        <w:t xml:space="preserve"> </w:t>
      </w:r>
      <w:r>
        <w:rPr>
          <w:rFonts w:ascii="Arial;sans-serif" w:hAnsi="Arial;sans-serif"/>
          <w:b w:val="false"/>
          <w:color w:val="231F20"/>
          <w:sz w:val="20"/>
        </w:rPr>
        <w:t>date.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incremental</w:t>
      </w:r>
      <w:r>
        <w:rPr>
          <w:color w:val="231F20"/>
        </w:rPr>
        <w:t xml:space="preserve"> </w:t>
      </w:r>
      <w:r>
        <w:rPr>
          <w:rFonts w:ascii="Arial;sans-serif" w:hAnsi="Arial;sans-serif"/>
          <w:b w:val="false"/>
          <w:color w:val="231F20"/>
          <w:sz w:val="20"/>
        </w:rPr>
        <w:t>borrowing</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interest</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would</w:t>
      </w:r>
      <w:r>
        <w:rPr>
          <w:color w:val="231F20"/>
        </w:rPr>
        <w:t xml:space="preserve"> </w:t>
      </w:r>
      <w:r>
        <w:rPr>
          <w:rFonts w:ascii="Arial;sans-serif" w:hAnsi="Arial;sans-serif"/>
          <w:b w:val="false"/>
          <w:color w:val="231F20"/>
          <w:sz w:val="20"/>
        </w:rPr>
        <w:t>have</w:t>
      </w:r>
      <w:r>
        <w:rPr>
          <w:color w:val="231F20"/>
        </w:rPr>
        <w:t xml:space="preserve"> </w:t>
      </w:r>
      <w:r>
        <w:rPr>
          <w:rFonts w:ascii="Arial;sans-serif" w:hAnsi="Arial;sans-serif"/>
          <w:b w:val="false"/>
          <w:color w:val="231F20"/>
          <w:sz w:val="20"/>
        </w:rPr>
        <w:t>to pay to borrow an amount equal to the lease payments</w:t>
      </w:r>
      <w:r>
        <w:rPr>
          <w:color w:val="231F20"/>
        </w:rPr>
        <w:t xml:space="preserve"> </w:t>
      </w:r>
      <w:r>
        <w:rPr>
          <w:rFonts w:ascii="Arial;sans-serif" w:hAnsi="Arial;sans-serif"/>
          <w:b w:val="false"/>
          <w:color w:val="231F20"/>
          <w:sz w:val="20"/>
        </w:rPr>
        <w:t>on a collateralized</w:t>
      </w:r>
      <w:r>
        <w:rPr>
          <w:color w:val="231F20"/>
        </w:rPr>
        <w:t xml:space="preserve"> </w:t>
      </w:r>
      <w:r>
        <w:rPr>
          <w:rFonts w:ascii="Arial;sans-serif" w:hAnsi="Arial;sans-serif"/>
          <w:b w:val="false"/>
          <w:color w:val="231F20"/>
          <w:sz w:val="20"/>
        </w:rPr>
        <w:t>basis over a similar</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and in a similar economic</w:t>
      </w:r>
      <w:r>
        <w:rPr>
          <w:color w:val="231F20"/>
        </w:rPr>
        <w:t xml:space="preserve"> </w:t>
      </w:r>
      <w:r>
        <w:rPr>
          <w:rFonts w:ascii="Arial;sans-serif" w:hAnsi="Arial;sans-serif"/>
          <w:b w:val="false"/>
          <w:color w:val="231F20"/>
          <w:sz w:val="20"/>
        </w:rPr>
        <w:t>environment. The operating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ROU</w:t>
      </w:r>
      <w:r>
        <w:rPr>
          <w:color w:val="231F20"/>
        </w:rPr>
        <w:t xml:space="preserve"> </w:t>
      </w:r>
      <w:r>
        <w:rPr>
          <w:rFonts w:ascii="Arial;sans-serif" w:hAnsi="Arial;sans-serif"/>
          <w:b w:val="false"/>
          <w:color w:val="231F20"/>
          <w:sz w:val="20"/>
        </w:rPr>
        <w:t>asset</w:t>
      </w:r>
      <w:r>
        <w:rPr>
          <w:color w:val="231F20"/>
        </w:rPr>
        <w:t xml:space="preserve"> </w:t>
      </w:r>
      <w:r>
        <w:rPr>
          <w:rFonts w:ascii="Arial;sans-serif" w:hAnsi="Arial;sans-serif"/>
          <w:b w:val="false"/>
          <w:color w:val="231F20"/>
          <w:sz w:val="20"/>
        </w:rPr>
        <w:t>also</w:t>
      </w:r>
      <w:r>
        <w:rPr>
          <w:color w:val="231F20"/>
        </w:rPr>
        <w:t xml:space="preserve"> </w:t>
      </w:r>
      <w:r>
        <w:rPr>
          <w:rFonts w:ascii="Arial;sans-serif" w:hAnsi="Arial;sans-serif"/>
          <w:b w:val="false"/>
          <w:color w:val="231F20"/>
          <w:sz w:val="20"/>
        </w:rPr>
        <w:t>includes</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initial</w:t>
      </w:r>
      <w:r>
        <w:rPr>
          <w:color w:val="231F20"/>
        </w:rPr>
        <w:t xml:space="preserve"> </w:t>
      </w:r>
      <w:r>
        <w:rPr>
          <w:rFonts w:ascii="Arial;sans-serif" w:hAnsi="Arial;sans-serif"/>
          <w:b w:val="false"/>
          <w:color w:val="231F20"/>
          <w:sz w:val="20"/>
        </w:rPr>
        <w:t>direct</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made</w:t>
      </w:r>
      <w:r>
        <w:rPr>
          <w:color w:val="231F20"/>
        </w:rPr>
        <w:t xml:space="preserve"> </w:t>
      </w:r>
      <w:r>
        <w:rPr>
          <w:rFonts w:ascii="Arial;sans-serif" w:hAnsi="Arial;sans-serif"/>
          <w:b w:val="false"/>
          <w:color w:val="231F20"/>
          <w:sz w:val="20"/>
        </w:rPr>
        <w:t>prior</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lease commencement,</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incentives</w:t>
      </w:r>
      <w:r>
        <w:rPr>
          <w:color w:val="231F20"/>
        </w:rPr>
        <w:t xml:space="preserve"> </w:t>
      </w:r>
      <w:r>
        <w:rPr>
          <w:rFonts w:ascii="Arial;sans-serif" w:hAnsi="Arial;sans-serif"/>
          <w:b w:val="false"/>
          <w:color w:val="231F20"/>
          <w:sz w:val="20"/>
        </w:rPr>
        <w:t>received.</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expensed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not included</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ROU</w:t>
      </w:r>
      <w:r>
        <w:rPr>
          <w:color w:val="231F20"/>
        </w:rPr>
        <w:t xml:space="preserve"> </w:t>
      </w:r>
      <w:r>
        <w:rPr>
          <w:rFonts w:ascii="Arial;sans-serif" w:hAnsi="Arial;sans-serif"/>
          <w:b w:val="false"/>
          <w:color w:val="231F20"/>
          <w:sz w:val="20"/>
        </w:rPr>
        <w:t>asset</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liability</w:t>
      </w:r>
      <w:r>
        <w:rPr>
          <w:color w:val="231F20"/>
        </w:rPr>
        <w:t xml:space="preserve"> </w:t>
      </w:r>
      <w:r>
        <w:rPr>
          <w:rFonts w:ascii="Arial;sans-serif" w:hAnsi="Arial;sans-serif"/>
          <w:b w:val="false"/>
          <w:color w:val="231F20"/>
          <w:sz w:val="20"/>
        </w:rPr>
        <w:t>calculation.</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include reimbursements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lessors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common</w:t>
      </w:r>
      <w:r>
        <w:rPr>
          <w:color w:val="231F20"/>
        </w:rPr>
        <w:t xml:space="preserve"> </w:t>
      </w:r>
      <w:r>
        <w:rPr>
          <w:rFonts w:ascii="Arial;sans-serif" w:hAnsi="Arial;sans-serif"/>
          <w:b w:val="false"/>
          <w:color w:val="231F20"/>
          <w:sz w:val="20"/>
        </w:rPr>
        <w:t>area</w:t>
      </w:r>
      <w:r>
        <w:rPr>
          <w:color w:val="231F20"/>
        </w:rPr>
        <w:t xml:space="preserve"> </w:t>
      </w:r>
      <w:r>
        <w:rPr>
          <w:rFonts w:ascii="Arial;sans-serif" w:hAnsi="Arial;sans-serif"/>
          <w:b w:val="false"/>
          <w:color w:val="231F20"/>
          <w:sz w:val="20"/>
        </w:rPr>
        <w:t>maintenance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utilities.</w:t>
      </w:r>
    </w:p>
    <w:p>
      <w:pPr>
        <w:pStyle w:val="TextBody"/>
        <w:bidi w:val="0"/>
        <w:spacing w:lineRule="auto" w:line="288" w:before="240" w:after="283"/>
        <w:ind w:left="0" w:right="0" w:firstLine="450"/>
        <w:jc w:val="left"/>
        <w:rPr/>
      </w:pP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each</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determined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noncancellable</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rent-free periods</w:t>
      </w:r>
      <w:r>
        <w:rPr>
          <w:color w:val="231F20"/>
        </w:rPr>
        <w:t xml:space="preserve"> </w:t>
      </w:r>
      <w:r>
        <w:rPr>
          <w:rFonts w:ascii="Arial;sans-serif" w:hAnsi="Arial;sans-serif"/>
          <w:b w:val="false"/>
          <w:color w:val="231F20"/>
          <w:sz w:val="20"/>
        </w:rPr>
        <w:t>provided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lessor,</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may</w:t>
      </w:r>
      <w:r>
        <w:rPr>
          <w:color w:val="231F20"/>
        </w:rPr>
        <w:t xml:space="preserve"> </w:t>
      </w:r>
      <w:r>
        <w:rPr>
          <w:rFonts w:ascii="Arial;sans-serif" w:hAnsi="Arial;sans-serif"/>
          <w:b w:val="false"/>
          <w:color w:val="231F20"/>
          <w:sz w:val="20"/>
        </w:rPr>
        <w:t>include</w:t>
      </w:r>
      <w:r>
        <w:rPr>
          <w:color w:val="231F20"/>
        </w:rPr>
        <w:t xml:space="preserve"> </w:t>
      </w:r>
      <w:r>
        <w:rPr>
          <w:rFonts w:ascii="Arial;sans-serif" w:hAnsi="Arial;sans-serif"/>
          <w:b w:val="false"/>
          <w:color w:val="231F20"/>
          <w:sz w:val="20"/>
        </w:rPr>
        <w:t>options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extend</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terminate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reasonably certain</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will</w:t>
      </w:r>
      <w:r>
        <w:rPr>
          <w:color w:val="231F20"/>
        </w:rPr>
        <w:t xml:space="preserve"> </w:t>
      </w:r>
      <w:r>
        <w:rPr>
          <w:rFonts w:ascii="Arial;sans-serif" w:hAnsi="Arial;sans-serif"/>
          <w:b w:val="false"/>
          <w:color w:val="231F20"/>
          <w:sz w:val="20"/>
        </w:rPr>
        <w:t>exercise</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option.</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straight-line basis</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contain</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non-lease</w:t>
      </w:r>
      <w:r>
        <w:rPr>
          <w:color w:val="231F20"/>
        </w:rPr>
        <w:t xml:space="preserve"> </w:t>
      </w:r>
      <w:r>
        <w:rPr>
          <w:rFonts w:ascii="Arial;sans-serif" w:hAnsi="Arial;sans-serif"/>
          <w:b w:val="false"/>
          <w:color w:val="231F20"/>
          <w:sz w:val="20"/>
        </w:rPr>
        <w:t>components.</w:t>
      </w:r>
      <w:r>
        <w:rPr>
          <w:color w:val="231F20"/>
        </w:rPr>
        <w:t xml:space="preserve"> </w:t>
      </w:r>
      <w:r>
        <w:rPr>
          <w:rFonts w:ascii="Arial;sans-serif" w:hAnsi="Arial;sans-serif"/>
          <w:b w:val="false"/>
          <w:color w:val="231F20"/>
          <w:sz w:val="20"/>
        </w:rPr>
        <w:t>The Company accounts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non-lease</w:t>
      </w:r>
      <w:r>
        <w:rPr>
          <w:color w:val="231F20"/>
        </w:rPr>
        <w:t xml:space="preserve"> </w:t>
      </w:r>
      <w:r>
        <w:rPr>
          <w:rFonts w:ascii="Arial;sans-serif" w:hAnsi="Arial;sans-serif"/>
          <w:b w:val="false"/>
          <w:color w:val="231F20"/>
          <w:sz w:val="20"/>
        </w:rPr>
        <w:t>components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part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component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they</w:t>
      </w:r>
      <w:r>
        <w:rPr>
          <w:color w:val="231F20"/>
        </w:rPr>
        <w:t xml:space="preserve"> </w:t>
      </w:r>
      <w:r>
        <w:rPr>
          <w:rFonts w:ascii="Arial;sans-serif" w:hAnsi="Arial;sans-serif"/>
          <w:b w:val="false"/>
          <w:color w:val="231F20"/>
          <w:sz w:val="20"/>
        </w:rPr>
        <w:t>relate.</w:t>
      </w:r>
    </w:p>
    <w:p>
      <w:pPr>
        <w:pStyle w:val="TextBody"/>
        <w:bidi w:val="0"/>
        <w:spacing w:lineRule="auto" w:line="288" w:before="240" w:after="283"/>
        <w:ind w:left="0" w:right="0" w:firstLine="450"/>
        <w:jc w:val="both"/>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does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recognize</w:t>
      </w:r>
      <w:r>
        <w:rPr>
          <w:color w:val="231F20"/>
        </w:rPr>
        <w:t xml:space="preserve"> </w:t>
      </w:r>
      <w:r>
        <w:rPr>
          <w:rFonts w:ascii="Arial;sans-serif" w:hAnsi="Arial;sans-serif"/>
          <w:b w:val="false"/>
          <w:color w:val="231F20"/>
          <w:sz w:val="20"/>
        </w:rPr>
        <w:t>ROU</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short-term</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have</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lease term of twelve months or less and do not include an option to purchase the underlying asset that the Company is reasonably</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to exercise.</w:t>
      </w:r>
    </w:p>
    <w:p>
      <w:pPr>
        <w:pStyle w:val="TextBody"/>
        <w:bidi w:val="0"/>
        <w:spacing w:lineRule="auto" w:line="288" w:before="240" w:after="283"/>
        <w:jc w:val="left"/>
        <w:rPr/>
      </w:pPr>
      <w:r>
        <w:rPr>
          <w:rFonts w:ascii="Arial;sans-serif" w:hAnsi="Arial;sans-serif"/>
          <w:b/>
          <w:i/>
          <w:color w:val="231F20"/>
          <w:sz w:val="20"/>
          <w:shd w:fill="FFFFFF" w:val="clear"/>
        </w:rPr>
        <w:t>Goodwill and Intangible</w:t>
      </w:r>
      <w:r>
        <w:rPr>
          <w:color w:val="231F20"/>
          <w:shd w:fill="FFFFFF" w:val="clear"/>
        </w:rPr>
        <w:t xml:space="preserve"> </w:t>
      </w:r>
      <w:r>
        <w:rPr>
          <w:rFonts w:ascii="Arial;sans-serif" w:hAnsi="Arial;sans-serif"/>
          <w:b/>
          <w:i/>
          <w:color w:val="231F20"/>
          <w:sz w:val="20"/>
          <w:shd w:fill="FFFFFF" w:val="clear"/>
        </w:rPr>
        <w:t>Assets</w:t>
      </w:r>
    </w:p>
    <w:p>
      <w:pPr>
        <w:pStyle w:val="TextBody"/>
        <w:bidi w:val="0"/>
        <w:spacing w:lineRule="auto" w:line="288" w:before="240" w:after="283"/>
        <w:ind w:left="0" w:right="0" w:firstLine="450"/>
        <w:jc w:val="left"/>
        <w:rPr/>
      </w:pPr>
      <w:r>
        <w:rPr>
          <w:rFonts w:ascii="Arial;sans-serif" w:hAnsi="Arial;sans-serif"/>
          <w:b w:val="false"/>
          <w:color w:val="231F20"/>
          <w:sz w:val="20"/>
          <w:shd w:fill="FFFFFF" w:val="clear"/>
        </w:rPr>
        <w:t>Intangible</w:t>
      </w:r>
      <w:r>
        <w:rPr>
          <w:color w:val="231F20"/>
          <w:shd w:fill="FFFFFF" w:val="clear"/>
        </w:rPr>
        <w:t xml:space="preserve"> </w:t>
      </w:r>
      <w:r>
        <w:rPr>
          <w:rFonts w:ascii="Arial;sans-serif" w:hAnsi="Arial;sans-serif"/>
          <w:b w:val="false"/>
          <w:color w:val="231F20"/>
          <w:sz w:val="20"/>
          <w:shd w:fill="FFFFFF" w:val="clear"/>
        </w:rPr>
        <w:t>assets</w:t>
      </w:r>
      <w:r>
        <w:rPr>
          <w:color w:val="231F20"/>
          <w:shd w:fill="FFFFFF" w:val="clear"/>
        </w:rPr>
        <w:t xml:space="preserve"> </w:t>
      </w:r>
      <w:r>
        <w:rPr>
          <w:rFonts w:ascii="Arial;sans-serif" w:hAnsi="Arial;sans-serif"/>
          <w:b w:val="false"/>
          <w:color w:val="231F20"/>
          <w:sz w:val="20"/>
          <w:shd w:fill="FFFFFF" w:val="clear"/>
        </w:rPr>
        <w:t>identified</w:t>
      </w:r>
      <w:r>
        <w:rPr>
          <w:color w:val="231F20"/>
          <w:shd w:fill="FFFFFF" w:val="clear"/>
        </w:rPr>
        <w:t xml:space="preserve"> </w:t>
      </w:r>
      <w:r>
        <w:rPr>
          <w:rFonts w:ascii="Arial;sans-serif" w:hAnsi="Arial;sans-serif"/>
          <w:b w:val="false"/>
          <w:color w:val="231F20"/>
          <w:sz w:val="20"/>
          <w:shd w:fill="FFFFFF" w:val="clear"/>
        </w:rPr>
        <w:t>in</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231F20"/>
          <w:sz w:val="20"/>
          <w:shd w:fill="FFFFFF" w:val="clear"/>
        </w:rPr>
        <w:t>Acquisition</w:t>
      </w:r>
      <w:r>
        <w:rPr>
          <w:color w:val="231F20"/>
          <w:shd w:fill="FFFFFF" w:val="clear"/>
        </w:rPr>
        <w:t xml:space="preserve"> </w:t>
      </w:r>
      <w:r>
        <w:rPr>
          <w:rFonts w:ascii="Arial;sans-serif" w:hAnsi="Arial;sans-serif"/>
          <w:b w:val="false"/>
          <w:color w:val="231F20"/>
          <w:sz w:val="20"/>
          <w:shd w:fill="FFFFFF" w:val="clear"/>
        </w:rPr>
        <w:t>include</w:t>
      </w:r>
      <w:r>
        <w:rPr>
          <w:color w:val="231F20"/>
          <w:shd w:fill="FFFFFF" w:val="clear"/>
        </w:rPr>
        <w:t xml:space="preserve"> </w:t>
      </w:r>
      <w:r>
        <w:rPr>
          <w:rFonts w:ascii="Arial;sans-serif" w:hAnsi="Arial;sans-serif"/>
          <w:b w:val="false"/>
          <w:color w:val="231F20"/>
          <w:sz w:val="20"/>
          <w:shd w:fill="FFFFFF" w:val="clear"/>
        </w:rPr>
        <w:t>GRAIL</w:t>
      </w:r>
      <w:r>
        <w:rPr>
          <w:color w:val="231F20"/>
          <w:shd w:fill="FFFFFF" w:val="clear"/>
        </w:rPr>
        <w:t xml:space="preserve"> </w:t>
      </w:r>
      <w:r>
        <w:rPr>
          <w:rFonts w:ascii="Arial;sans-serif" w:hAnsi="Arial;sans-serif"/>
          <w:b w:val="false"/>
          <w:color w:val="231F20"/>
          <w:sz w:val="20"/>
          <w:shd w:fill="FFFFFF" w:val="clear"/>
        </w:rPr>
        <w:t>trade</w:t>
      </w:r>
      <w:r>
        <w:rPr>
          <w:color w:val="231F20"/>
          <w:shd w:fill="FFFFFF" w:val="clear"/>
        </w:rPr>
        <w:t xml:space="preserve"> </w:t>
      </w:r>
      <w:r>
        <w:rPr>
          <w:rFonts w:ascii="Arial;sans-serif" w:hAnsi="Arial;sans-serif"/>
          <w:b w:val="false"/>
          <w:color w:val="231F20"/>
          <w:sz w:val="20"/>
          <w:shd w:fill="FFFFFF" w:val="clear"/>
        </w:rPr>
        <w:t>names,</w:t>
      </w:r>
      <w:r>
        <w:rPr>
          <w:color w:val="231F20"/>
          <w:shd w:fill="FFFFFF" w:val="clear"/>
        </w:rPr>
        <w:t xml:space="preserve"> </w:t>
      </w:r>
      <w:r>
        <w:rPr>
          <w:rFonts w:ascii="Arial;sans-serif" w:hAnsi="Arial;sans-serif"/>
          <w:b w:val="false"/>
          <w:color w:val="231F20"/>
          <w:sz w:val="20"/>
          <w:shd w:fill="FFFFFF" w:val="clear"/>
        </w:rPr>
        <w:t>developed</w:t>
      </w:r>
      <w:r>
        <w:rPr>
          <w:color w:val="231F20"/>
          <w:shd w:fill="FFFFFF" w:val="clear"/>
        </w:rPr>
        <w:t xml:space="preserve"> </w:t>
      </w:r>
      <w:r>
        <w:rPr>
          <w:rFonts w:ascii="Arial;sans-serif" w:hAnsi="Arial;sans-serif"/>
          <w:b w:val="false"/>
          <w:color w:val="231F20"/>
          <w:sz w:val="20"/>
          <w:shd w:fill="FFFFFF" w:val="clear"/>
        </w:rPr>
        <w:t>technology,</w:t>
      </w:r>
      <w:r>
        <w:rPr>
          <w:color w:val="231F20"/>
          <w:shd w:fill="FFFFFF" w:val="clear"/>
        </w:rPr>
        <w:t xml:space="preserve"> </w:t>
      </w:r>
      <w:r>
        <w:rPr>
          <w:rFonts w:ascii="Arial;sans-serif" w:hAnsi="Arial;sans-serif"/>
          <w:b w:val="false"/>
          <w:color w:val="231F20"/>
          <w:sz w:val="20"/>
          <w:shd w:fill="FFFFFF" w:val="clear"/>
        </w:rPr>
        <w:t>and GRAIL</w:t>
      </w:r>
      <w:r>
        <w:rPr>
          <w:color w:val="231F20"/>
          <w:shd w:fill="FFFFFF" w:val="clear"/>
        </w:rPr>
        <w:t xml:space="preserve"> </w:t>
      </w:r>
      <w:r>
        <w:rPr>
          <w:rFonts w:ascii="Arial;sans-serif" w:hAnsi="Arial;sans-serif"/>
          <w:b w:val="false"/>
          <w:color w:val="231F20"/>
          <w:sz w:val="20"/>
          <w:shd w:fill="FFFFFF" w:val="clear"/>
        </w:rPr>
        <w:t>in-process</w:t>
      </w:r>
      <w:r>
        <w:rPr>
          <w:color w:val="231F20"/>
          <w:shd w:fill="FFFFFF" w:val="clear"/>
        </w:rPr>
        <w:t xml:space="preserve"> </w:t>
      </w:r>
      <w:r>
        <w:rPr>
          <w:rFonts w:ascii="Arial;sans-serif" w:hAnsi="Arial;sans-serif"/>
          <w:b w:val="false"/>
          <w:color w:val="231F20"/>
          <w:sz w:val="20"/>
          <w:shd w:fill="FFFFFF" w:val="clear"/>
        </w:rPr>
        <w:t>research</w:t>
      </w:r>
      <w:r>
        <w:rPr>
          <w:color w:val="231F20"/>
          <w:shd w:fill="FFFFFF" w:val="clear"/>
        </w:rPr>
        <w:t xml:space="preserve"> </w:t>
      </w:r>
      <w:r>
        <w:rPr>
          <w:rFonts w:ascii="Arial;sans-serif" w:hAnsi="Arial;sans-serif"/>
          <w:b w:val="false"/>
          <w:color w:val="231F20"/>
          <w:sz w:val="20"/>
          <w:shd w:fill="FFFFFF" w:val="clear"/>
        </w:rPr>
        <w:t>and</w:t>
      </w:r>
      <w:r>
        <w:rPr>
          <w:color w:val="231F20"/>
          <w:shd w:fill="FFFFFF" w:val="clear"/>
        </w:rPr>
        <w:t xml:space="preserve"> </w:t>
      </w:r>
      <w:r>
        <w:rPr>
          <w:rFonts w:ascii="Arial;sans-serif" w:hAnsi="Arial;sans-serif"/>
          <w:b w:val="false"/>
          <w:color w:val="231F20"/>
          <w:sz w:val="20"/>
          <w:shd w:fill="FFFFFF" w:val="clear"/>
        </w:rPr>
        <w:t>development</w:t>
      </w:r>
      <w:r>
        <w:rPr>
          <w:color w:val="231F20"/>
          <w:shd w:fill="FFFFFF" w:val="clear"/>
        </w:rPr>
        <w:t xml:space="preserve"> </w:t>
      </w:r>
      <w:r>
        <w:rPr>
          <w:rFonts w:ascii="Arial;sans-serif" w:hAnsi="Arial;sans-serif"/>
          <w:b w:val="false"/>
          <w:color w:val="231F20"/>
          <w:sz w:val="20"/>
          <w:shd w:fill="FFFFFF" w:val="clear"/>
        </w:rPr>
        <w:t>(“IPR&amp;D”)</w:t>
      </w:r>
      <w:r>
        <w:rPr>
          <w:color w:val="231F20"/>
          <w:shd w:fill="FFFFFF" w:val="clear"/>
        </w:rPr>
        <w:t xml:space="preserve"> </w:t>
      </w:r>
      <w:r>
        <w:rPr>
          <w:rFonts w:ascii="Arial;sans-serif" w:hAnsi="Arial;sans-serif"/>
          <w:b w:val="false"/>
          <w:color w:val="231F20"/>
          <w:sz w:val="20"/>
          <w:shd w:fill="FFFFFF" w:val="clear"/>
        </w:rPr>
        <w:t>and</w:t>
      </w:r>
      <w:r>
        <w:rPr>
          <w:color w:val="231F20"/>
          <w:shd w:fill="FFFFFF" w:val="clear"/>
        </w:rPr>
        <w:t xml:space="preserve"> </w:t>
      </w:r>
      <w:r>
        <w:rPr>
          <w:rFonts w:ascii="Arial;sans-serif" w:hAnsi="Arial;sans-serif"/>
          <w:b w:val="false"/>
          <w:color w:val="231F20"/>
          <w:sz w:val="20"/>
          <w:shd w:fill="FFFFFF" w:val="clear"/>
        </w:rPr>
        <w:t>were</w:t>
      </w:r>
      <w:r>
        <w:rPr>
          <w:color w:val="231F20"/>
          <w:shd w:fill="FFFFFF" w:val="clear"/>
        </w:rPr>
        <w:t xml:space="preserve"> </w:t>
      </w:r>
      <w:r>
        <w:rPr>
          <w:rFonts w:ascii="Arial;sans-serif" w:hAnsi="Arial;sans-serif"/>
          <w:b w:val="false"/>
          <w:color w:val="231F20"/>
          <w:sz w:val="20"/>
          <w:shd w:fill="FFFFFF" w:val="clear"/>
        </w:rPr>
        <w:t>measured</w:t>
      </w:r>
      <w:r>
        <w:rPr>
          <w:color w:val="231F20"/>
          <w:shd w:fill="FFFFFF" w:val="clear"/>
        </w:rPr>
        <w:t xml:space="preserve"> </w:t>
      </w:r>
      <w:r>
        <w:rPr>
          <w:rFonts w:ascii="Arial;sans-serif" w:hAnsi="Arial;sans-serif"/>
          <w:b w:val="false"/>
          <w:color w:val="231F20"/>
          <w:sz w:val="20"/>
          <w:shd w:fill="FFFFFF" w:val="clear"/>
        </w:rPr>
        <w:t>at</w:t>
      </w:r>
      <w:r>
        <w:rPr>
          <w:color w:val="231F20"/>
          <w:shd w:fill="FFFFFF" w:val="clear"/>
        </w:rPr>
        <w:t xml:space="preserve"> </w:t>
      </w:r>
      <w:r>
        <w:rPr>
          <w:rFonts w:ascii="Arial;sans-serif" w:hAnsi="Arial;sans-serif"/>
          <w:b w:val="false"/>
          <w:color w:val="231F20"/>
          <w:sz w:val="20"/>
          <w:shd w:fill="FFFFFF" w:val="clear"/>
        </w:rPr>
        <w:t>fair</w:t>
      </w:r>
      <w:r>
        <w:rPr>
          <w:color w:val="231F20"/>
          <w:shd w:fill="FFFFFF" w:val="clear"/>
        </w:rPr>
        <w:t xml:space="preserve"> </w:t>
      </w:r>
      <w:r>
        <w:rPr>
          <w:rFonts w:ascii="Arial;sans-serif" w:hAnsi="Arial;sans-serif"/>
          <w:b w:val="false"/>
          <w:color w:val="231F20"/>
          <w:sz w:val="20"/>
          <w:shd w:fill="FFFFFF" w:val="clear"/>
        </w:rPr>
        <w:t>value</w:t>
      </w:r>
      <w:r>
        <w:rPr>
          <w:color w:val="231F20"/>
          <w:shd w:fill="FFFFFF" w:val="clear"/>
        </w:rPr>
        <w:t xml:space="preserve"> </w:t>
      </w:r>
      <w:r>
        <w:rPr>
          <w:rFonts w:ascii="Arial;sans-serif" w:hAnsi="Arial;sans-serif"/>
          <w:b w:val="false"/>
          <w:color w:val="231F20"/>
          <w:sz w:val="20"/>
          <w:shd w:fill="FFFFFF" w:val="clear"/>
        </w:rPr>
        <w:t>as</w:t>
      </w:r>
      <w:r>
        <w:rPr>
          <w:color w:val="231F20"/>
          <w:shd w:fill="FFFFFF" w:val="clear"/>
        </w:rPr>
        <w:t xml:space="preserve"> </w:t>
      </w:r>
      <w:r>
        <w:rPr>
          <w:rFonts w:ascii="Arial;sans-serif" w:hAnsi="Arial;sans-serif"/>
          <w:b w:val="false"/>
          <w:color w:val="231F20"/>
          <w:sz w:val="20"/>
          <w:shd w:fill="FFFFFF" w:val="clear"/>
        </w:rPr>
        <w:t>of</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000000"/>
          <w:sz w:val="20"/>
          <w:shd w:fill="FFFFFF" w:val="clear"/>
        </w:rPr>
        <w:t>closing date of Illumina’s acquisition of GRAIL (“</w:t>
      </w:r>
      <w:r>
        <w:rPr>
          <w:rFonts w:ascii="Arial;sans-serif" w:hAnsi="Arial;sans-serif"/>
          <w:b w:val="false"/>
          <w:color w:val="231F20"/>
          <w:sz w:val="20"/>
          <w:shd w:fill="FFFFFF" w:val="clear"/>
        </w:rPr>
        <w:t>Closing</w:t>
      </w:r>
      <w:r>
        <w:rPr>
          <w:color w:val="231F20"/>
          <w:shd w:fill="FFFFFF" w:val="clear"/>
        </w:rPr>
        <w:t xml:space="preserve"> </w:t>
      </w:r>
      <w:r>
        <w:rPr>
          <w:rFonts w:ascii="Arial;sans-serif" w:hAnsi="Arial;sans-serif"/>
          <w:b w:val="false"/>
          <w:color w:val="231F20"/>
          <w:sz w:val="20"/>
          <w:shd w:fill="FFFFFF" w:val="clear"/>
        </w:rPr>
        <w:t>Date”). Goodwill</w:t>
      </w:r>
      <w:r>
        <w:rPr>
          <w:color w:val="231F20"/>
          <w:shd w:fill="FFFFFF" w:val="clear"/>
        </w:rPr>
        <w:t xml:space="preserve"> </w:t>
      </w:r>
      <w:r>
        <w:rPr>
          <w:rFonts w:ascii="Arial;sans-serif" w:hAnsi="Arial;sans-serif"/>
          <w:b w:val="false"/>
          <w:color w:val="231F20"/>
          <w:sz w:val="20"/>
          <w:shd w:fill="FFFFFF" w:val="clear"/>
        </w:rPr>
        <w:t>represented</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231F20"/>
          <w:sz w:val="20"/>
          <w:shd w:fill="FFFFFF" w:val="clear"/>
        </w:rPr>
        <w:t>excess</w:t>
      </w:r>
      <w:r>
        <w:rPr>
          <w:color w:val="231F20"/>
          <w:shd w:fill="FFFFFF" w:val="clear"/>
        </w:rPr>
        <w:t xml:space="preserve"> </w:t>
      </w:r>
      <w:r>
        <w:rPr>
          <w:rFonts w:ascii="Arial;sans-serif" w:hAnsi="Arial;sans-serif"/>
          <w:b w:val="false"/>
          <w:color w:val="231F20"/>
          <w:sz w:val="20"/>
          <w:shd w:fill="FFFFFF" w:val="clear"/>
        </w:rPr>
        <w:t>of</w:t>
      </w:r>
      <w:r>
        <w:rPr>
          <w:color w:val="231F20"/>
          <w:shd w:fill="FFFFFF" w:val="clear"/>
        </w:rPr>
        <w:t xml:space="preserve"> </w:t>
      </w:r>
      <w:r>
        <w:rPr>
          <w:rFonts w:ascii="Arial;sans-serif" w:hAnsi="Arial;sans-serif"/>
          <w:b w:val="false"/>
          <w:color w:val="231F20"/>
          <w:sz w:val="20"/>
          <w:shd w:fill="FFFFFF" w:val="clear"/>
        </w:rPr>
        <w:t>purchase</w:t>
      </w:r>
      <w:r>
        <w:rPr>
          <w:color w:val="231F20"/>
          <w:shd w:fill="FFFFFF" w:val="clear"/>
        </w:rPr>
        <w:t xml:space="preserve"> </w:t>
      </w:r>
      <w:r>
        <w:rPr>
          <w:rFonts w:ascii="Arial;sans-serif" w:hAnsi="Arial;sans-serif"/>
          <w:b w:val="false"/>
          <w:color w:val="231F20"/>
          <w:sz w:val="20"/>
          <w:shd w:fill="FFFFFF" w:val="clear"/>
        </w:rPr>
        <w:t>price</w:t>
      </w:r>
      <w:r>
        <w:rPr>
          <w:color w:val="231F20"/>
          <w:shd w:fill="FFFFFF" w:val="clear"/>
        </w:rPr>
        <w:t xml:space="preserve"> </w:t>
      </w:r>
      <w:r>
        <w:rPr>
          <w:rFonts w:ascii="Arial;sans-serif" w:hAnsi="Arial;sans-serif"/>
          <w:b w:val="false"/>
          <w:color w:val="231F20"/>
          <w:sz w:val="20"/>
          <w:shd w:fill="FFFFFF" w:val="clear"/>
        </w:rPr>
        <w:t>paid</w:t>
      </w:r>
      <w:r>
        <w:rPr>
          <w:color w:val="231F20"/>
          <w:shd w:fill="FFFFFF" w:val="clear"/>
        </w:rPr>
        <w:t xml:space="preserve"> </w:t>
      </w:r>
      <w:r>
        <w:rPr>
          <w:rFonts w:ascii="Arial;sans-serif" w:hAnsi="Arial;sans-serif"/>
          <w:b w:val="false"/>
          <w:color w:val="231F20"/>
          <w:sz w:val="20"/>
          <w:shd w:fill="FFFFFF" w:val="clear"/>
        </w:rPr>
        <w:t>over</w:t>
      </w:r>
      <w:r>
        <w:rPr>
          <w:color w:val="231F20"/>
          <w:shd w:fill="FFFFFF" w:val="clear"/>
        </w:rPr>
        <w:t xml:space="preserve"> </w:t>
      </w:r>
      <w:r>
        <w:rPr>
          <w:rFonts w:ascii="Arial;sans-serif" w:hAnsi="Arial;sans-serif"/>
          <w:b w:val="false"/>
          <w:color w:val="231F20"/>
          <w:sz w:val="20"/>
          <w:shd w:fill="FFFFFF" w:val="clear"/>
        </w:rPr>
        <w:t>fair</w:t>
      </w:r>
      <w:r>
        <w:rPr>
          <w:color w:val="231F20"/>
          <w:shd w:fill="FFFFFF" w:val="clear"/>
        </w:rPr>
        <w:t xml:space="preserve"> </w:t>
      </w:r>
      <w:r>
        <w:rPr>
          <w:rFonts w:ascii="Arial;sans-serif" w:hAnsi="Arial;sans-serif"/>
          <w:b w:val="false"/>
          <w:color w:val="231F20"/>
          <w:sz w:val="20"/>
          <w:shd w:fill="FFFFFF" w:val="clear"/>
        </w:rPr>
        <w:t>value</w:t>
      </w:r>
      <w:r>
        <w:rPr>
          <w:color w:val="231F20"/>
          <w:shd w:fill="FFFFFF" w:val="clear"/>
        </w:rPr>
        <w:t xml:space="preserve"> </w:t>
      </w:r>
      <w:r>
        <w:rPr>
          <w:rFonts w:ascii="Arial;sans-serif" w:hAnsi="Arial;sans-serif"/>
          <w:b w:val="false"/>
          <w:color w:val="231F20"/>
          <w:sz w:val="20"/>
          <w:shd w:fill="FFFFFF" w:val="clear"/>
        </w:rPr>
        <w:t>of</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231F20"/>
          <w:sz w:val="20"/>
          <w:shd w:fill="FFFFFF" w:val="clear"/>
        </w:rPr>
        <w:t>net</w:t>
      </w:r>
      <w:r>
        <w:rPr>
          <w:color w:val="231F20"/>
          <w:shd w:fill="FFFFFF" w:val="clear"/>
        </w:rPr>
        <w:t xml:space="preserve"> </w:t>
      </w:r>
      <w:r>
        <w:rPr>
          <w:rFonts w:ascii="Arial;sans-serif" w:hAnsi="Arial;sans-serif"/>
          <w:b w:val="false"/>
          <w:color w:val="231F20"/>
          <w:sz w:val="20"/>
          <w:shd w:fill="FFFFFF" w:val="clear"/>
        </w:rPr>
        <w:t>identifiable</w:t>
      </w:r>
      <w:r>
        <w:rPr>
          <w:color w:val="231F20"/>
          <w:shd w:fill="FFFFFF" w:val="clear"/>
        </w:rPr>
        <w:t xml:space="preserve"> </w:t>
      </w:r>
      <w:r>
        <w:rPr>
          <w:rFonts w:ascii="Arial;sans-serif" w:hAnsi="Arial;sans-serif"/>
          <w:b w:val="false"/>
          <w:color w:val="231F20"/>
          <w:sz w:val="20"/>
          <w:shd w:fill="FFFFFF" w:val="clear"/>
        </w:rPr>
        <w:t>assets</w:t>
      </w:r>
      <w:r>
        <w:rPr>
          <w:color w:val="231F20"/>
          <w:shd w:fill="FFFFFF" w:val="clear"/>
        </w:rPr>
        <w:t xml:space="preserve"> </w:t>
      </w:r>
      <w:r>
        <w:rPr>
          <w:rFonts w:ascii="Arial;sans-serif" w:hAnsi="Arial;sans-serif"/>
          <w:b w:val="false"/>
          <w:color w:val="231F20"/>
          <w:sz w:val="20"/>
          <w:shd w:fill="FFFFFF" w:val="clear"/>
        </w:rPr>
        <w:t>acquired.</w:t>
      </w:r>
      <w:r>
        <w:rPr>
          <w:color w:val="000000"/>
          <w:shd w:fill="FFFFFF" w:val="clear"/>
        </w:rPr>
        <w:t xml:space="preserve"> </w:t>
      </w:r>
    </w:p>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The</w:t>
      </w:r>
      <w:r>
        <w:rPr>
          <w:color w:val="000000"/>
          <w:shd w:fill="FFFFFF" w:val="clear"/>
        </w:rPr>
        <w:t xml:space="preserve"> </w:t>
      </w:r>
      <w:r>
        <w:rPr>
          <w:rFonts w:ascii="Arial;sans-serif" w:hAnsi="Arial;sans-serif"/>
          <w:b w:val="false"/>
          <w:color w:val="000000"/>
          <w:sz w:val="20"/>
          <w:shd w:fill="FFFFFF" w:val="clear"/>
        </w:rPr>
        <w:t>Company’s</w:t>
      </w:r>
      <w:r>
        <w:rPr>
          <w:color w:val="000000"/>
          <w:shd w:fill="FFFFFF" w:val="clear"/>
        </w:rPr>
        <w:t xml:space="preserve"> </w:t>
      </w:r>
      <w:r>
        <w:rPr>
          <w:rFonts w:ascii="Arial;sans-serif" w:hAnsi="Arial;sans-serif"/>
          <w:b w:val="false"/>
          <w:color w:val="000000"/>
          <w:sz w:val="20"/>
          <w:shd w:fill="FFFFFF" w:val="clear"/>
        </w:rPr>
        <w:t>trade</w:t>
      </w:r>
      <w:r>
        <w:rPr>
          <w:color w:val="000000"/>
          <w:shd w:fill="FFFFFF" w:val="clear"/>
        </w:rPr>
        <w:t xml:space="preserve"> </w:t>
      </w:r>
      <w:r>
        <w:rPr>
          <w:rFonts w:ascii="Arial;sans-serif" w:hAnsi="Arial;sans-serif"/>
          <w:b w:val="false"/>
          <w:color w:val="000000"/>
          <w:sz w:val="20"/>
          <w:shd w:fill="FFFFFF" w:val="clear"/>
        </w:rPr>
        <w:t>names,</w:t>
      </w:r>
      <w:r>
        <w:rPr>
          <w:color w:val="000000"/>
          <w:shd w:fill="FFFFFF" w:val="clear"/>
        </w:rPr>
        <w:t xml:space="preserve"> </w:t>
      </w:r>
      <w:r>
        <w:rPr>
          <w:rFonts w:ascii="Arial;sans-serif" w:hAnsi="Arial;sans-serif"/>
          <w:b w:val="false"/>
          <w:color w:val="000000"/>
          <w:sz w:val="20"/>
          <w:shd w:fill="FFFFFF" w:val="clear"/>
        </w:rPr>
        <w:t>GRAIL</w:t>
      </w:r>
      <w:r>
        <w:rPr>
          <w:color w:val="000000"/>
          <w:shd w:fill="FFFFFF" w:val="clear"/>
        </w:rPr>
        <w:t xml:space="preserve"> </w:t>
      </w:r>
      <w:r>
        <w:rPr>
          <w:rFonts w:ascii="Arial;sans-serif" w:hAnsi="Arial;sans-serif"/>
          <w:b w:val="false"/>
          <w:color w:val="000000"/>
          <w:sz w:val="20"/>
          <w:shd w:fill="FFFFFF" w:val="clear"/>
        </w:rPr>
        <w:t>and</w:t>
      </w:r>
      <w:r>
        <w:rPr>
          <w:color w:val="000000"/>
          <w:shd w:fill="FFFFFF" w:val="clear"/>
        </w:rPr>
        <w:t xml:space="preserve"> </w:t>
      </w:r>
      <w:r>
        <w:rPr>
          <w:rFonts w:ascii="Arial;sans-serif" w:hAnsi="Arial;sans-serif"/>
          <w:b w:val="false"/>
          <w:color w:val="000000"/>
          <w:sz w:val="20"/>
          <w:shd w:fill="FFFFFF" w:val="clear"/>
        </w:rPr>
        <w:t>Gal</w:t>
      </w:r>
      <w:r>
        <w:rPr>
          <w:rFonts w:ascii="Arial;sans-serif" w:hAnsi="Arial;sans-serif"/>
          <w:b w:val="false"/>
          <w:color w:val="000000"/>
          <w:sz w:val="20"/>
        </w:rPr>
        <w:t>leri,</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brand</w:t>
      </w:r>
      <w:r>
        <w:rPr>
          <w:color w:val="000000"/>
        </w:rPr>
        <w:t xml:space="preserve"> </w:t>
      </w:r>
      <w:r>
        <w:rPr>
          <w:rFonts w:ascii="Arial;sans-serif" w:hAnsi="Arial;sans-serif"/>
          <w:b w:val="false"/>
          <w:color w:val="000000"/>
          <w:sz w:val="20"/>
        </w:rPr>
        <w:t>recognition</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related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 services</w:t>
      </w:r>
      <w:r>
        <w:rPr>
          <w:color w:val="000000"/>
        </w:rPr>
        <w:t xml:space="preserve"> </w:t>
      </w:r>
      <w:r>
        <w:rPr>
          <w:rFonts w:ascii="Arial;sans-serif" w:hAnsi="Arial;sans-serif"/>
          <w:b w:val="false"/>
          <w:color w:val="000000"/>
          <w:sz w:val="20"/>
        </w:rPr>
        <w:t>GRAIL</w:t>
      </w:r>
      <w:r>
        <w:rPr>
          <w:color w:val="000000"/>
        </w:rPr>
        <w:t xml:space="preserve"> </w:t>
      </w:r>
      <w:r>
        <w:rPr>
          <w:rFonts w:ascii="Arial;sans-serif" w:hAnsi="Arial;sans-serif"/>
          <w:b w:val="false"/>
          <w:color w:val="000000"/>
          <w:sz w:val="20"/>
        </w:rPr>
        <w:t>provides</w:t>
      </w:r>
      <w:r>
        <w:rPr>
          <w:color w:val="000000"/>
        </w:rPr>
        <w:t xml:space="preserve"> </w:t>
      </w:r>
      <w:r>
        <w:rPr>
          <w:rFonts w:ascii="Arial;sans-serif" w:hAnsi="Arial;sans-serif"/>
          <w:b w:val="false"/>
          <w:color w:val="000000"/>
          <w:sz w:val="20"/>
        </w:rPr>
        <w:t>customers</w:t>
      </w:r>
      <w:r>
        <w:rPr>
          <w:color w:val="000000"/>
        </w:rPr>
        <w:t xml:space="preserve"> </w:t>
      </w:r>
      <w:r>
        <w:rPr>
          <w:rFonts w:ascii="Arial;sans-serif" w:hAnsi="Arial;sans-serif"/>
          <w:b w:val="false"/>
          <w:color w:val="000000"/>
          <w:sz w:val="20"/>
        </w:rPr>
        <w:t>and the research</w:t>
      </w:r>
      <w:r>
        <w:rPr>
          <w:color w:val="000000"/>
        </w:rPr>
        <w:t xml:space="preserve"> </w:t>
      </w:r>
      <w:r>
        <w:rPr>
          <w:rFonts w:ascii="Arial;sans-serif" w:hAnsi="Arial;sans-serif"/>
          <w:b w:val="false"/>
          <w:color w:val="000000"/>
          <w:sz w:val="20"/>
        </w:rPr>
        <w:t>and development</w:t>
      </w:r>
      <w:r>
        <w:rPr>
          <w:color w:val="000000"/>
        </w:rPr>
        <w:t xml:space="preserve"> </w:t>
      </w:r>
      <w:r>
        <w:rPr>
          <w:rFonts w:ascii="Arial;sans-serif" w:hAnsi="Arial;sans-serif"/>
          <w:b w:val="false"/>
          <w:color w:val="000000"/>
          <w:sz w:val="20"/>
        </w:rPr>
        <w:t>activities</w:t>
      </w:r>
      <w:r>
        <w:rPr>
          <w:color w:val="000000"/>
        </w:rPr>
        <w:t xml:space="preserve"> </w:t>
      </w:r>
      <w:r>
        <w:rPr>
          <w:rFonts w:ascii="Arial;sans-serif" w:hAnsi="Arial;sans-serif"/>
          <w:b w:val="false"/>
          <w:color w:val="000000"/>
          <w:sz w:val="20"/>
        </w:rPr>
        <w:t>GRAIL</w:t>
      </w:r>
      <w:r>
        <w:rPr>
          <w:color w:val="000000"/>
        </w:rPr>
        <w:t xml:space="preserve"> </w:t>
      </w:r>
      <w:r>
        <w:rPr>
          <w:rFonts w:ascii="Arial;sans-serif" w:hAnsi="Arial;sans-serif"/>
          <w:b w:val="false"/>
          <w:color w:val="000000"/>
          <w:sz w:val="20"/>
        </w:rPr>
        <w:t>performs.</w:t>
      </w:r>
      <w:r>
        <w:rPr>
          <w:color w:val="000000"/>
        </w:rPr>
        <w:t xml:space="preserve"> </w:t>
      </w:r>
      <w:r>
        <w:rPr>
          <w:rFonts w:ascii="Arial;sans-serif" w:hAnsi="Arial;sans-serif"/>
          <w:b w:val="false"/>
          <w:color w:val="000000"/>
          <w:sz w:val="20"/>
        </w:rPr>
        <w:t>GRAIL’s developed</w:t>
      </w:r>
      <w:r>
        <w:rPr>
          <w:color w:val="000000"/>
        </w:rPr>
        <w:t xml:space="preserve"> </w:t>
      </w:r>
      <w:r>
        <w:rPr>
          <w:rFonts w:ascii="Arial;sans-serif" w:hAnsi="Arial;sans-serif"/>
          <w:b w:val="false"/>
          <w:color w:val="000000"/>
          <w:sz w:val="20"/>
        </w:rPr>
        <w:t>technology</w:t>
      </w:r>
      <w:r>
        <w:rPr>
          <w:color w:val="000000"/>
        </w:rPr>
        <w:t xml:space="preserve"> </w:t>
      </w:r>
      <w:r>
        <w:rPr>
          <w:rFonts w:ascii="Arial;sans-serif" w:hAnsi="Arial;sans-serif"/>
          <w:b w:val="false"/>
          <w:color w:val="000000"/>
          <w:sz w:val="20"/>
        </w:rPr>
        <w:t>includes</w:t>
      </w:r>
      <w:r>
        <w:rPr>
          <w:color w:val="000000"/>
        </w:rPr>
        <w:t xml:space="preserve"> </w:t>
      </w:r>
      <w:r>
        <w:rPr>
          <w:rFonts w:ascii="Arial;sans-serif" w:hAnsi="Arial;sans-serif"/>
          <w:b w:val="false"/>
          <w:color w:val="000000"/>
          <w:sz w:val="20"/>
        </w:rPr>
        <w:t>intangible</w:t>
      </w:r>
      <w:r>
        <w:rPr>
          <w:color w:val="000000"/>
        </w:rPr>
        <w:t xml:space="preserve"> </w:t>
      </w:r>
      <w:r>
        <w:rPr>
          <w:rFonts w:ascii="Arial;sans-serif" w:hAnsi="Arial;sans-serif"/>
          <w:b w:val="false"/>
          <w:color w:val="000000"/>
          <w:sz w:val="20"/>
        </w:rPr>
        <w:t>assets</w:t>
      </w:r>
      <w:r>
        <w:rPr>
          <w:color w:val="000000"/>
        </w:rPr>
        <w:t xml:space="preserve"> </w:t>
      </w:r>
      <w:r>
        <w:rPr>
          <w:rFonts w:ascii="Arial;sans-serif" w:hAnsi="Arial;sans-serif"/>
          <w:b w:val="false"/>
          <w:color w:val="000000"/>
          <w:sz w:val="20"/>
        </w:rPr>
        <w:t>related</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Galleri, its</w:t>
      </w:r>
      <w:r>
        <w:rPr>
          <w:color w:val="000000"/>
        </w:rPr>
        <w:t xml:space="preserve"> </w:t>
      </w:r>
      <w:r>
        <w:rPr>
          <w:rFonts w:ascii="Arial;sans-serif" w:hAnsi="Arial;sans-serif"/>
          <w:b w:val="false"/>
          <w:color w:val="000000"/>
          <w:sz w:val="20"/>
        </w:rPr>
        <w:t>multi-cancer</w:t>
      </w:r>
      <w:r>
        <w:rPr>
          <w:color w:val="000000"/>
        </w:rPr>
        <w:t xml:space="preserve"> </w:t>
      </w:r>
      <w:r>
        <w:rPr>
          <w:rFonts w:ascii="Arial;sans-serif" w:hAnsi="Arial;sans-serif"/>
          <w:b w:val="false"/>
          <w:color w:val="000000"/>
          <w:sz w:val="20"/>
        </w:rPr>
        <w:t>early</w:t>
      </w:r>
      <w:r>
        <w:rPr>
          <w:color w:val="000000"/>
        </w:rPr>
        <w:t xml:space="preserve"> </w:t>
      </w:r>
      <w:r>
        <w:rPr>
          <w:rFonts w:ascii="Arial;sans-serif" w:hAnsi="Arial;sans-serif"/>
          <w:b w:val="false"/>
          <w:color w:val="000000"/>
          <w:sz w:val="20"/>
        </w:rPr>
        <w:t>detection</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was launched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laboratory-developed</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(“LDT”)</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2021,</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well</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diagnostic</w:t>
      </w:r>
      <w:r>
        <w:rPr>
          <w:color w:val="000000"/>
        </w:rPr>
        <w:t xml:space="preserve"> </w:t>
      </w:r>
      <w:r>
        <w:rPr>
          <w:rFonts w:ascii="Arial;sans-serif" w:hAnsi="Arial;sans-serif"/>
          <w:b w:val="false"/>
          <w:color w:val="000000"/>
          <w:sz w:val="20"/>
        </w:rPr>
        <w:t>aid</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cancer</w:t>
      </w:r>
      <w:r>
        <w:rPr>
          <w:color w:val="000000"/>
        </w:rPr>
        <w:t xml:space="preserve"> </w:t>
      </w:r>
      <w:r>
        <w:rPr>
          <w:rFonts w:ascii="Arial;sans-serif" w:hAnsi="Arial;sans-serif"/>
          <w:b w:val="false"/>
          <w:color w:val="000000"/>
          <w:sz w:val="20"/>
        </w:rPr>
        <w:t>test. The developed</w:t>
      </w:r>
      <w:r>
        <w:rPr>
          <w:color w:val="000000"/>
        </w:rPr>
        <w:t xml:space="preserve"> </w:t>
      </w:r>
      <w:r>
        <w:rPr>
          <w:rFonts w:ascii="Arial;sans-serif" w:hAnsi="Arial;sans-serif"/>
          <w:b w:val="false"/>
          <w:color w:val="000000"/>
          <w:sz w:val="20"/>
        </w:rPr>
        <w:t>technology</w:t>
      </w:r>
      <w:r>
        <w:rPr>
          <w:color w:val="000000"/>
        </w:rPr>
        <w:t xml:space="preserve"> </w:t>
      </w:r>
      <w:r>
        <w:rPr>
          <w:rFonts w:ascii="Arial;sans-serif" w:hAnsi="Arial;sans-serif"/>
          <w:b w:val="false"/>
          <w:color w:val="000000"/>
          <w:sz w:val="20"/>
        </w:rPr>
        <w:t>underpins</w:t>
      </w:r>
      <w:r>
        <w:rPr>
          <w:color w:val="000000"/>
        </w:rPr>
        <w:t xml:space="preserve"> </w:t>
      </w:r>
      <w:r>
        <w:rPr>
          <w:rFonts w:ascii="Arial;sans-serif" w:hAnsi="Arial;sans-serif"/>
          <w:b w:val="false"/>
          <w:color w:val="000000"/>
          <w:sz w:val="20"/>
        </w:rPr>
        <w:t>both</w:t>
      </w:r>
      <w:r>
        <w:rPr>
          <w:color w:val="000000"/>
        </w:rPr>
        <w:t xml:space="preserve"> </w:t>
      </w:r>
      <w:r>
        <w:rPr>
          <w:rFonts w:ascii="Arial;sans-serif" w:hAnsi="Arial;sans-serif"/>
          <w:b w:val="false"/>
          <w:color w:val="000000"/>
          <w:sz w:val="20"/>
        </w:rPr>
        <w:t>Galleri, designed</w:t>
      </w:r>
      <w:r>
        <w:rPr>
          <w:color w:val="000000"/>
        </w:rPr>
        <w:t xml:space="preserve"> </w:t>
      </w:r>
      <w:r>
        <w:rPr>
          <w:rFonts w:ascii="Arial;sans-serif" w:hAnsi="Arial;sans-serif"/>
          <w:b w:val="false"/>
          <w:color w:val="000000"/>
          <w:sz w:val="20"/>
        </w:rPr>
        <w:t>as</w:t>
      </w:r>
      <w:r>
        <w:rPr>
          <w:color w:val="000000"/>
        </w:rPr>
        <w:t xml:space="preserve"> </w:t>
      </w:r>
      <w:r>
        <w:rPr>
          <w:rFonts w:ascii="Arial;sans-serif" w:hAnsi="Arial;sans-serif"/>
          <w:b w:val="false"/>
          <w:color w:val="000000"/>
          <w:sz w:val="20"/>
        </w:rPr>
        <w:t>a cancer</w:t>
      </w:r>
      <w:r>
        <w:rPr>
          <w:color w:val="000000"/>
        </w:rPr>
        <w:t xml:space="preserve"> </w:t>
      </w:r>
      <w:r>
        <w:rPr>
          <w:rFonts w:ascii="Arial;sans-serif" w:hAnsi="Arial;sans-serif"/>
          <w:b w:val="false"/>
          <w:color w:val="000000"/>
          <w:sz w:val="20"/>
        </w:rPr>
        <w:t>screening</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asymptomatic individuals over 50 years of age, and a diagnostic aid for cancer test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w:t>
      </w:r>
      <w:r>
        <w:rPr>
          <w:color w:val="000000"/>
        </w:rPr>
        <w:t xml:space="preserve"> </w:t>
      </w:r>
      <w:r>
        <w:rPr>
          <w:rFonts w:ascii="Arial;sans-serif" w:hAnsi="Arial;sans-serif"/>
          <w:b w:val="false"/>
          <w:color w:val="000000"/>
          <w:sz w:val="20"/>
        </w:rPr>
        <w:t>respectively.</w:t>
      </w:r>
    </w:p>
    <w:p>
      <w:pPr>
        <w:pStyle w:val="TextBody"/>
        <w:bidi w:val="0"/>
        <w:spacing w:lineRule="auto" w:line="288" w:before="240" w:after="283"/>
        <w:ind w:left="0" w:right="0" w:firstLine="450"/>
        <w:jc w:val="left"/>
        <w:rPr/>
      </w:pPr>
      <w:r>
        <w:rPr>
          <w:rFonts w:ascii="Arial;sans-serif" w:hAnsi="Arial;sans-serif"/>
          <w:b w:val="false"/>
          <w:color w:val="000000"/>
          <w:sz w:val="20"/>
        </w:rPr>
        <w:t>The Company’s IPR&amp;D includ</w:t>
      </w:r>
      <w:r>
        <w:rPr>
          <w:rFonts w:ascii="Arial;sans-serif" w:hAnsi="Arial;sans-serif"/>
          <w:b w:val="false"/>
          <w:color w:val="000000"/>
          <w:sz w:val="20"/>
          <w:shd w:fill="FFFFFF" w:val="clear"/>
        </w:rPr>
        <w:t>es</w:t>
      </w:r>
      <w:r>
        <w:rPr>
          <w:color w:val="000000"/>
          <w:shd w:fill="FFFFFF" w:val="clear"/>
        </w:rPr>
        <w:t xml:space="preserve"> </w:t>
      </w:r>
      <w:r>
        <w:rPr>
          <w:rFonts w:ascii="Arial;sans-serif" w:hAnsi="Arial;sans-serif"/>
          <w:b w:val="false"/>
          <w:color w:val="000000"/>
          <w:sz w:val="20"/>
        </w:rPr>
        <w:t>assets related</w:t>
      </w:r>
      <w:r>
        <w:rPr>
          <w:color w:val="000000"/>
        </w:rPr>
        <w:t xml:space="preserve"> </w:t>
      </w:r>
      <w:r>
        <w:rPr>
          <w:rFonts w:ascii="Arial;sans-serif" w:hAnsi="Arial;sans-serif"/>
          <w:b w:val="false"/>
          <w:color w:val="000000"/>
          <w:sz w:val="20"/>
        </w:rPr>
        <w:t>to GRAIL’s development</w:t>
      </w:r>
      <w:r>
        <w:rPr>
          <w:color w:val="000000"/>
        </w:rPr>
        <w:t xml:space="preserve"> </w:t>
      </w:r>
      <w:r>
        <w:rPr>
          <w:rFonts w:ascii="Arial;sans-serif" w:hAnsi="Arial;sans-serif"/>
          <w:b w:val="false"/>
          <w:color w:val="000000"/>
          <w:sz w:val="20"/>
        </w:rPr>
        <w:t>of a minimal</w:t>
      </w:r>
      <w:r>
        <w:rPr>
          <w:color w:val="000000"/>
        </w:rPr>
        <w:t xml:space="preserve"> </w:t>
      </w:r>
      <w:r>
        <w:rPr>
          <w:rFonts w:ascii="Arial;sans-serif" w:hAnsi="Arial;sans-serif"/>
          <w:b w:val="false"/>
          <w:color w:val="000000"/>
          <w:sz w:val="20"/>
        </w:rPr>
        <w:t>residual</w:t>
      </w:r>
      <w:r>
        <w:rPr>
          <w:color w:val="000000"/>
        </w:rPr>
        <w:t xml:space="preserve"> </w:t>
      </w:r>
      <w:r>
        <w:rPr>
          <w:rFonts w:ascii="Arial;sans-serif" w:hAnsi="Arial;sans-serif"/>
          <w:b w:val="false"/>
          <w:color w:val="000000"/>
          <w:sz w:val="20"/>
        </w:rPr>
        <w:t>disease (“MRD”)</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post-diagnostic</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under</w:t>
      </w:r>
      <w:r>
        <w:rPr>
          <w:color w:val="000000"/>
        </w:rPr>
        <w:t xml:space="preserve"> </w:t>
      </w:r>
      <w:r>
        <w:rPr>
          <w:rFonts w:ascii="Arial;sans-serif" w:hAnsi="Arial;sans-serif"/>
          <w:b w:val="false"/>
          <w:color w:val="000000"/>
          <w:sz w:val="20"/>
        </w:rPr>
        <w:t>development.</w:t>
      </w:r>
      <w:r>
        <w:rPr>
          <w:color w:val="000000"/>
        </w:rPr>
        <w:t xml:space="preserve"> </w:t>
      </w:r>
      <w:r>
        <w:rPr>
          <w:rFonts w:ascii="Arial;sans-serif" w:hAnsi="Arial;sans-serif"/>
          <w:b w:val="false"/>
          <w:color w:val="000000"/>
          <w:sz w:val="20"/>
        </w:rPr>
        <w:t>IPR&amp;D</w:t>
      </w:r>
      <w:r>
        <w:rPr>
          <w:color w:val="000000"/>
        </w:rPr>
        <w:t xml:space="preserve"> </w:t>
      </w:r>
      <w:r>
        <w:rPr>
          <w:rFonts w:ascii="Arial;sans-serif" w:hAnsi="Arial;sans-serif"/>
          <w:b w:val="false"/>
          <w:color w:val="000000"/>
          <w:sz w:val="20"/>
        </w:rPr>
        <w:t>is</w:t>
      </w:r>
      <w:r>
        <w:rPr>
          <w:color w:val="000000"/>
        </w:rPr>
        <w:t xml:space="preserve"> </w:t>
      </w:r>
      <w:r>
        <w:rPr>
          <w:rFonts w:ascii="Arial;sans-serif" w:hAnsi="Arial;sans-serif"/>
          <w:b w:val="false"/>
          <w:color w:val="000000"/>
          <w:sz w:val="20"/>
        </w:rPr>
        <w:t>considered</w:t>
      </w:r>
      <w:r>
        <w:rPr>
          <w:color w:val="000000"/>
        </w:rPr>
        <w:t xml:space="preserve"> </w:t>
      </w:r>
      <w:r>
        <w:rPr>
          <w:rFonts w:ascii="Arial;sans-serif" w:hAnsi="Arial;sans-serif"/>
          <w:b w:val="false"/>
          <w:color w:val="000000"/>
          <w:sz w:val="20"/>
        </w:rPr>
        <w:t>indefinite-lived and</w:t>
      </w:r>
      <w:r>
        <w:rPr>
          <w:color w:val="000000"/>
        </w:rPr>
        <w:t xml:space="preserve"> </w:t>
      </w:r>
      <w:r>
        <w:rPr>
          <w:rFonts w:ascii="Arial;sans-serif" w:hAnsi="Arial;sans-serif"/>
          <w:b w:val="false"/>
          <w:color w:val="000000"/>
          <w:sz w:val="20"/>
        </w:rPr>
        <w:t>therefore</w:t>
      </w:r>
      <w:r>
        <w:rPr>
          <w:color w:val="000000"/>
        </w:rPr>
        <w:t xml:space="preserve"> </w:t>
      </w:r>
      <w:r>
        <w:rPr>
          <w:rFonts w:ascii="Arial;sans-serif" w:hAnsi="Arial;sans-serif"/>
          <w:b w:val="false"/>
          <w:color w:val="000000"/>
          <w:sz w:val="20"/>
        </w:rPr>
        <w:t>is not amortized until completed and placed into service or expensed upon abandonment of the associated research and development efforts.</w:t>
      </w:r>
    </w:p>
    <w:p>
      <w:pPr>
        <w:pStyle w:val="TextBody"/>
        <w:bidi w:val="0"/>
        <w:spacing w:lineRule="auto" w:line="288" w:before="240" w:after="283"/>
        <w:ind w:left="0" w:right="0" w:firstLine="450"/>
        <w:jc w:val="both"/>
        <w:rPr/>
      </w:pPr>
      <w:r>
        <w:rPr>
          <w:rFonts w:ascii="Arial;sans-serif" w:hAnsi="Arial;sans-serif"/>
          <w:b w:val="false"/>
          <w:color w:val="231F20"/>
          <w:sz w:val="20"/>
        </w:rPr>
        <w:t>Goodwill and IPR&amp;D, which were not amortized, were reviewed for impairment</w:t>
      </w:r>
      <w:r>
        <w:rPr>
          <w:color w:val="231F20"/>
        </w:rPr>
        <w:t xml:space="preserve"> </w:t>
      </w:r>
      <w:r>
        <w:rPr>
          <w:rFonts w:ascii="Arial;sans-serif" w:hAnsi="Arial;sans-serif"/>
          <w:b w:val="false"/>
          <w:color w:val="231F20"/>
          <w:sz w:val="20"/>
        </w:rPr>
        <w:t>at least annually or more frequently</w:t>
      </w:r>
      <w:r>
        <w:rPr>
          <w:color w:val="231F20"/>
        </w:rPr>
        <w:t xml:space="preserve"> </w:t>
      </w:r>
      <w:r>
        <w:rPr>
          <w:rFonts w:ascii="Arial;sans-serif" w:hAnsi="Arial;sans-serif"/>
          <w:b w:val="false"/>
          <w:color w:val="231F20"/>
          <w:sz w:val="20"/>
        </w:rPr>
        <w:t>if events or circumstances</w:t>
      </w:r>
      <w:r>
        <w:rPr>
          <w:color w:val="231F20"/>
        </w:rPr>
        <w:t xml:space="preserve"> </w:t>
      </w:r>
      <w:r>
        <w:rPr>
          <w:rFonts w:ascii="Arial;sans-serif" w:hAnsi="Arial;sans-serif"/>
          <w:b w:val="false"/>
          <w:color w:val="231F20"/>
          <w:sz w:val="20"/>
        </w:rPr>
        <w:t>indicated a potential</w:t>
      </w:r>
      <w:r>
        <w:rPr>
          <w:color w:val="231F20"/>
        </w:rPr>
        <w:t xml:space="preserve"> </w:t>
      </w:r>
      <w:r>
        <w:rPr>
          <w:rFonts w:ascii="Arial;sans-serif" w:hAnsi="Arial;sans-serif"/>
          <w:b w:val="false"/>
          <w:color w:val="231F20"/>
          <w:sz w:val="20"/>
        </w:rPr>
        <w:t>for impairment.</w:t>
      </w:r>
      <w:r>
        <w:rPr>
          <w:color w:val="231F20"/>
        </w:rPr>
        <w:t xml:space="preserve"> </w:t>
      </w:r>
      <w:r>
        <w:rPr>
          <w:rFonts w:ascii="Arial;sans-serif" w:hAnsi="Arial;sans-serif"/>
          <w:b w:val="false"/>
          <w:color w:val="231F20"/>
          <w:sz w:val="20"/>
          <w:shd w:fill="FFFFFF" w:val="clear"/>
        </w:rPr>
        <w:t>Goodwill and IPR&amp;D were considered impaired</w:t>
      </w:r>
      <w:r>
        <w:rPr>
          <w:color w:val="231F20"/>
          <w:shd w:fill="FFFFFF" w:val="clear"/>
        </w:rPr>
        <w:t xml:space="preserve"> </w:t>
      </w:r>
      <w:r>
        <w:rPr>
          <w:rFonts w:ascii="Arial;sans-serif" w:hAnsi="Arial;sans-serif"/>
          <w:b w:val="false"/>
          <w:color w:val="231F20"/>
          <w:sz w:val="20"/>
          <w:shd w:fill="FFFFFF" w:val="clear"/>
        </w:rPr>
        <w:t>if</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231F20"/>
          <w:sz w:val="20"/>
          <w:shd w:fill="FFFFFF" w:val="clear"/>
        </w:rPr>
        <w:t>carrying</w:t>
      </w:r>
      <w:r>
        <w:rPr>
          <w:color w:val="231F20"/>
          <w:shd w:fill="FFFFFF" w:val="clear"/>
        </w:rPr>
        <w:t xml:space="preserve"> </w:t>
      </w:r>
      <w:r>
        <w:rPr>
          <w:rFonts w:ascii="Arial;sans-serif" w:hAnsi="Arial;sans-serif"/>
          <w:b w:val="false"/>
          <w:color w:val="231F20"/>
          <w:sz w:val="20"/>
          <w:shd w:fill="FFFFFF" w:val="clear"/>
        </w:rPr>
        <w:t>value</w:t>
      </w:r>
      <w:r>
        <w:rPr>
          <w:color w:val="231F20"/>
          <w:shd w:fill="FFFFFF" w:val="clear"/>
        </w:rPr>
        <w:t xml:space="preserve"> </w:t>
      </w:r>
      <w:r>
        <w:rPr>
          <w:rFonts w:ascii="Arial;sans-serif" w:hAnsi="Arial;sans-serif"/>
          <w:b w:val="false"/>
          <w:color w:val="231F20"/>
          <w:sz w:val="20"/>
          <w:shd w:fill="FFFFFF" w:val="clear"/>
        </w:rPr>
        <w:t>of</w:t>
      </w:r>
      <w:r>
        <w:rPr>
          <w:color w:val="231F20"/>
          <w:shd w:fill="FFFFFF" w:val="clear"/>
        </w:rPr>
        <w:t xml:space="preserve"> </w:t>
      </w:r>
      <w:r>
        <w:rPr>
          <w:rFonts w:ascii="Arial;sans-serif" w:hAnsi="Arial;sans-serif"/>
          <w:b w:val="false"/>
          <w:color w:val="231F20"/>
          <w:sz w:val="20"/>
          <w:shd w:fill="FFFFFF" w:val="clear"/>
        </w:rPr>
        <w:t>the</w:t>
      </w:r>
      <w:r>
        <w:rPr>
          <w:color w:val="231F20"/>
          <w:shd w:fill="FFFFFF" w:val="clear"/>
        </w:rPr>
        <w:t xml:space="preserve"> </w:t>
      </w:r>
      <w:r>
        <w:rPr>
          <w:rFonts w:ascii="Arial;sans-serif" w:hAnsi="Arial;sans-serif"/>
          <w:b w:val="false"/>
          <w:color w:val="231F20"/>
          <w:sz w:val="20"/>
          <w:shd w:fill="FFFFFF" w:val="clear"/>
        </w:rPr>
        <w:t>reporting</w:t>
      </w:r>
      <w:r>
        <w:rPr>
          <w:color w:val="231F20"/>
          <w:shd w:fill="FFFFFF" w:val="clear"/>
        </w:rPr>
        <w:t xml:space="preserve"> </w:t>
      </w:r>
      <w:r>
        <w:rPr>
          <w:rFonts w:ascii="Arial;sans-serif" w:hAnsi="Arial;sans-serif"/>
          <w:b w:val="false"/>
          <w:color w:val="231F20"/>
          <w:sz w:val="20"/>
          <w:shd w:fill="FFFFFF" w:val="clear"/>
        </w:rPr>
        <w:t>unit</w:t>
      </w:r>
      <w:r>
        <w:rPr>
          <w:color w:val="231F20"/>
          <w:shd w:fill="FFFFFF" w:val="clear"/>
        </w:rPr>
        <w:t xml:space="preserve"> </w:t>
      </w:r>
      <w:r>
        <w:rPr>
          <w:rFonts w:ascii="Arial;sans-serif" w:hAnsi="Arial;sans-serif"/>
          <w:b w:val="false"/>
          <w:color w:val="231F20"/>
          <w:sz w:val="20"/>
          <w:shd w:fill="FFFFFF" w:val="clear"/>
        </w:rPr>
        <w:t>or</w:t>
      </w:r>
      <w:r>
        <w:rPr>
          <w:color w:val="231F20"/>
          <w:shd w:fill="FFFFFF" w:val="clear"/>
        </w:rPr>
        <w:t xml:space="preserve"> </w:t>
      </w:r>
      <w:r>
        <w:rPr>
          <w:rFonts w:ascii="Arial;sans-serif" w:hAnsi="Arial;sans-serif"/>
          <w:b w:val="false"/>
          <w:color w:val="231F20"/>
          <w:sz w:val="20"/>
          <w:shd w:fill="FFFFFF" w:val="clear"/>
        </w:rPr>
        <w:t>IPR&amp;D</w:t>
      </w:r>
      <w:r>
        <w:rPr>
          <w:color w:val="231F20"/>
          <w:shd w:fill="FFFFFF" w:val="clear"/>
        </w:rPr>
        <w:t xml:space="preserve"> </w:t>
      </w:r>
      <w:r>
        <w:rPr>
          <w:rFonts w:ascii="Arial;sans-serif" w:hAnsi="Arial;sans-serif"/>
          <w:b w:val="false"/>
          <w:color w:val="231F20"/>
          <w:sz w:val="20"/>
          <w:shd w:fill="FFFFFF" w:val="clear"/>
        </w:rPr>
        <w:t>asset</w:t>
      </w:r>
      <w:r>
        <w:rPr>
          <w:color w:val="231F20"/>
          <w:shd w:fill="FFFFFF" w:val="clear"/>
        </w:rPr>
        <w:t xml:space="preserve"> </w:t>
      </w:r>
      <w:r>
        <w:rPr>
          <w:rFonts w:ascii="Arial;sans-serif" w:hAnsi="Arial;sans-serif"/>
          <w:b w:val="false"/>
          <w:color w:val="231F20"/>
          <w:sz w:val="20"/>
          <w:shd w:fill="FFFFFF" w:val="clear"/>
        </w:rPr>
        <w:t>exceeded</w:t>
      </w:r>
      <w:r>
        <w:rPr>
          <w:color w:val="231F20"/>
          <w:shd w:fill="FFFFFF" w:val="clear"/>
        </w:rPr>
        <w:t xml:space="preserve"> </w:t>
      </w:r>
      <w:r>
        <w:rPr>
          <w:rFonts w:ascii="Arial;sans-serif" w:hAnsi="Arial;sans-serif"/>
          <w:b w:val="false"/>
          <w:color w:val="231F20"/>
          <w:sz w:val="20"/>
          <w:shd w:fill="FFFFFF" w:val="clear"/>
        </w:rPr>
        <w:t>its</w:t>
      </w:r>
      <w:r>
        <w:rPr>
          <w:color w:val="231F20"/>
          <w:shd w:fill="FFFFFF" w:val="clear"/>
        </w:rPr>
        <w:t xml:space="preserve"> </w:t>
      </w:r>
      <w:r>
        <w:rPr>
          <w:rFonts w:ascii="Arial;sans-serif" w:hAnsi="Arial;sans-serif"/>
          <w:b w:val="false"/>
          <w:color w:val="231F20"/>
          <w:sz w:val="20"/>
          <w:shd w:fill="FFFFFF" w:val="clear"/>
        </w:rPr>
        <w:t>respective</w:t>
      </w:r>
      <w:r>
        <w:rPr>
          <w:color w:val="231F20"/>
          <w:shd w:fill="FFFFFF" w:val="clear"/>
        </w:rPr>
        <w:t xml:space="preserve"> </w:t>
      </w:r>
      <w:r>
        <w:rPr>
          <w:rFonts w:ascii="Arial;sans-serif" w:hAnsi="Arial;sans-serif"/>
          <w:b w:val="false"/>
          <w:color w:val="231F20"/>
          <w:sz w:val="20"/>
          <w:shd w:fill="FFFFFF" w:val="clear"/>
        </w:rPr>
        <w:t>fair</w:t>
      </w:r>
      <w:r>
        <w:rPr>
          <w:color w:val="231F20"/>
          <w:shd w:fill="FFFFFF" w:val="clear"/>
        </w:rPr>
        <w:t xml:space="preserve"> </w:t>
      </w:r>
      <w:r>
        <w:rPr>
          <w:rFonts w:ascii="Arial;sans-serif" w:hAnsi="Arial;sans-serif"/>
          <w:b w:val="false"/>
          <w:color w:val="231F20"/>
          <w:sz w:val="20"/>
          <w:shd w:fill="FFFFFF" w:val="clear"/>
        </w:rPr>
        <w:t>value.</w:t>
      </w:r>
    </w:p>
    <w:p>
      <w:pPr>
        <w:pStyle w:val="TextBody"/>
        <w:bidi w:val="0"/>
        <w:spacing w:lineRule="auto" w:line="288" w:before="240" w:after="283"/>
        <w:ind w:left="0" w:right="0" w:firstLine="450"/>
        <w:jc w:val="left"/>
        <w:rPr/>
      </w:pPr>
      <w:r>
        <w:rPr>
          <w:rFonts w:ascii="Arial;sans-serif" w:hAnsi="Arial;sans-serif"/>
          <w:b w:val="false"/>
          <w:color w:val="231F20"/>
          <w:sz w:val="20"/>
        </w:rPr>
        <w:t>The Company performed</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goodwill</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analysis</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reporting</w:t>
      </w:r>
      <w:r>
        <w:rPr>
          <w:color w:val="231F20"/>
        </w:rPr>
        <w:t xml:space="preserve"> </w:t>
      </w:r>
      <w:r>
        <w:rPr>
          <w:rFonts w:ascii="Arial;sans-serif" w:hAnsi="Arial;sans-serif"/>
          <w:b w:val="false"/>
          <w:color w:val="231F20"/>
          <w:sz w:val="20"/>
        </w:rPr>
        <w:t>unit</w:t>
      </w:r>
      <w:r>
        <w:rPr>
          <w:color w:val="231F20"/>
        </w:rPr>
        <w:t xml:space="preserve"> </w:t>
      </w:r>
      <w:r>
        <w:rPr>
          <w:rFonts w:ascii="Arial;sans-serif" w:hAnsi="Arial;sans-serif"/>
          <w:b w:val="false"/>
          <w:color w:val="231F20"/>
          <w:sz w:val="20"/>
        </w:rPr>
        <w:t>level.</w:t>
      </w:r>
      <w:r>
        <w:rPr>
          <w:color w:val="231F20"/>
        </w:rPr>
        <w:t xml:space="preserve"> </w:t>
      </w:r>
      <w:r>
        <w:rPr>
          <w:rFonts w:ascii="Arial;sans-serif" w:hAnsi="Arial;sans-serif"/>
          <w:b w:val="false"/>
          <w:color w:val="231F20"/>
          <w:sz w:val="20"/>
        </w:rPr>
        <w:t>The Company has</w:t>
      </w:r>
      <w:r>
        <w:rPr>
          <w:color w:val="231F20"/>
        </w:rPr>
        <w:t xml:space="preserve"> </w:t>
      </w:r>
      <w:r>
        <w:rPr>
          <w:rFonts w:ascii="Arial;sans-serif" w:hAnsi="Arial;sans-serif"/>
          <w:b w:val="false"/>
          <w:color w:val="231F20"/>
          <w:sz w:val="20"/>
        </w:rPr>
        <w:t>one</w:t>
      </w:r>
      <w:r>
        <w:rPr>
          <w:color w:val="231F20"/>
        </w:rPr>
        <w:t xml:space="preserve"> </w:t>
      </w:r>
      <w:r>
        <w:rPr>
          <w:rFonts w:ascii="Arial;sans-serif" w:hAnsi="Arial;sans-serif"/>
          <w:b w:val="false"/>
          <w:color w:val="231F20"/>
          <w:sz w:val="20"/>
        </w:rPr>
        <w:t>reporting</w:t>
      </w:r>
      <w:r>
        <w:rPr>
          <w:color w:val="231F20"/>
        </w:rPr>
        <w:t xml:space="preserve"> </w:t>
      </w:r>
      <w:r>
        <w:rPr>
          <w:rFonts w:ascii="Arial;sans-serif" w:hAnsi="Arial;sans-serif"/>
          <w:b w:val="false"/>
          <w:color w:val="231F20"/>
          <w:sz w:val="20"/>
        </w:rPr>
        <w:t>unit,</w:t>
      </w:r>
      <w:r>
        <w:rPr>
          <w:color w:val="231F20"/>
        </w:rPr>
        <w:t xml:space="preserve"> </w:t>
      </w:r>
      <w:r>
        <w:rPr>
          <w:rFonts w:ascii="Arial;sans-serif" w:hAnsi="Arial;sans-serif"/>
          <w:b w:val="false"/>
          <w:color w:val="231F20"/>
          <w:sz w:val="20"/>
        </w:rPr>
        <w:t>which aligns</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its reporting</w:t>
      </w:r>
      <w:r>
        <w:rPr>
          <w:color w:val="231F20"/>
        </w:rPr>
        <w:t xml:space="preserve"> </w:t>
      </w:r>
      <w:r>
        <w:rPr>
          <w:rFonts w:ascii="Arial;sans-serif" w:hAnsi="Arial;sans-serif"/>
          <w:b w:val="false"/>
          <w:color w:val="231F20"/>
          <w:sz w:val="20"/>
        </w:rPr>
        <w:t>structure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availability</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discrete</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information.</w:t>
      </w:r>
      <w:r>
        <w:rPr>
          <w:color w:val="231F20"/>
        </w:rPr>
        <w:t xml:space="preserve"> </w:t>
      </w:r>
      <w:r>
        <w:rPr>
          <w:rFonts w:ascii="Arial;sans-serif" w:hAnsi="Arial;sans-serif"/>
          <w:b w:val="false"/>
          <w:color w:val="231F20"/>
          <w:sz w:val="20"/>
        </w:rPr>
        <w:t>During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goodwill impairment</w:t>
      </w:r>
      <w:r>
        <w:rPr>
          <w:color w:val="231F20"/>
        </w:rPr>
        <w:t xml:space="preserve"> </w:t>
      </w:r>
      <w:r>
        <w:rPr>
          <w:rFonts w:ascii="Arial;sans-serif" w:hAnsi="Arial;sans-serif"/>
          <w:b w:val="false"/>
          <w:color w:val="231F20"/>
          <w:sz w:val="20"/>
        </w:rPr>
        <w:t>review,</w:t>
      </w:r>
      <w:r>
        <w:rPr>
          <w:color w:val="231F20"/>
        </w:rPr>
        <w:t xml:space="preserve"> </w:t>
      </w:r>
      <w:r>
        <w:rPr>
          <w:rFonts w:ascii="Arial;sans-serif" w:hAnsi="Arial;sans-serif"/>
          <w:b w:val="false"/>
          <w:color w:val="231F20"/>
          <w:sz w:val="20"/>
        </w:rPr>
        <w:t>the Company assessed</w:t>
      </w:r>
      <w:r>
        <w:rPr>
          <w:color w:val="231F20"/>
        </w:rPr>
        <w:t xml:space="preserve"> </w:t>
      </w:r>
      <w:r>
        <w:rPr>
          <w:rFonts w:ascii="Arial;sans-serif" w:hAnsi="Arial;sans-serif"/>
          <w:b w:val="false"/>
          <w:color w:val="231F20"/>
          <w:sz w:val="20"/>
        </w:rPr>
        <w:t>qualitative</w:t>
      </w:r>
      <w:r>
        <w:rPr>
          <w:color w:val="231F20"/>
        </w:rPr>
        <w:t xml:space="preserve"> </w:t>
      </w:r>
      <w:r>
        <w:rPr>
          <w:rFonts w:ascii="Arial;sans-serif" w:hAnsi="Arial;sans-serif"/>
          <w:b w:val="false"/>
          <w:color w:val="231F20"/>
          <w:sz w:val="20"/>
        </w:rPr>
        <w:t>factors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determine</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was more</w:t>
      </w:r>
      <w:r>
        <w:rPr>
          <w:color w:val="231F20"/>
        </w:rPr>
        <w:t xml:space="preserve"> </w:t>
      </w:r>
      <w:r>
        <w:rPr>
          <w:rFonts w:ascii="Arial;sans-serif" w:hAnsi="Arial;sans-serif"/>
          <w:b w:val="false"/>
          <w:color w:val="231F20"/>
          <w:sz w:val="20"/>
        </w:rPr>
        <w:t>likely</w:t>
      </w:r>
      <w:r>
        <w:rPr>
          <w:color w:val="231F20"/>
        </w:rPr>
        <w:t xml:space="preserve"> </w:t>
      </w:r>
      <w:r>
        <w:rPr>
          <w:rFonts w:ascii="Arial;sans-serif" w:hAnsi="Arial;sans-serif"/>
          <w:b w:val="false"/>
          <w:color w:val="231F20"/>
          <w:sz w:val="20"/>
        </w:rPr>
        <w:t>than</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 of</w:t>
      </w:r>
      <w:r>
        <w:rPr>
          <w:color w:val="231F20"/>
        </w:rPr>
        <w:t xml:space="preserve"> </w:t>
      </w:r>
      <w:r>
        <w:rPr>
          <w:rFonts w:ascii="Arial;sans-serif" w:hAnsi="Arial;sans-serif"/>
          <w:b w:val="false"/>
          <w:color w:val="231F20"/>
          <w:sz w:val="20"/>
        </w:rPr>
        <w:t>the Company’s reporting</w:t>
      </w:r>
      <w:r>
        <w:rPr>
          <w:color w:val="231F20"/>
        </w:rPr>
        <w:t xml:space="preserve"> </w:t>
      </w:r>
      <w:r>
        <w:rPr>
          <w:rFonts w:ascii="Arial;sans-serif" w:hAnsi="Arial;sans-serif"/>
          <w:b w:val="false"/>
          <w:color w:val="231F20"/>
          <w:sz w:val="20"/>
        </w:rPr>
        <w:t>unit</w:t>
      </w:r>
      <w:r>
        <w:rPr>
          <w:color w:val="231F20"/>
        </w:rPr>
        <w:t xml:space="preserve"> </w:t>
      </w:r>
      <w:r>
        <w:rPr>
          <w:rFonts w:ascii="Arial;sans-serif" w:hAnsi="Arial;sans-serif"/>
          <w:b w:val="false"/>
          <w:color w:val="231F20"/>
          <w:sz w:val="20"/>
        </w:rPr>
        <w:t>was</w:t>
      </w:r>
      <w:r>
        <w:rPr>
          <w:color w:val="231F20"/>
        </w:rPr>
        <w:t xml:space="preserve"> </w:t>
      </w:r>
      <w:r>
        <w:rPr>
          <w:rFonts w:ascii="Arial;sans-serif" w:hAnsi="Arial;sans-serif"/>
          <w:b w:val="false"/>
          <w:color w:val="231F20"/>
          <w:sz w:val="20"/>
        </w:rPr>
        <w:t>less</w:t>
      </w:r>
      <w:r>
        <w:rPr>
          <w:color w:val="231F20"/>
        </w:rPr>
        <w:t xml:space="preserve"> </w:t>
      </w:r>
      <w:r>
        <w:rPr>
          <w:rFonts w:ascii="Arial;sans-serif" w:hAnsi="Arial;sans-serif"/>
          <w:b w:val="false"/>
          <w:color w:val="231F20"/>
          <w:sz w:val="20"/>
        </w:rPr>
        <w:t>than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carrying</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 xml:space="preserve">goodwill. During the indefinite-lived intangible asset impairment review, the Company assessed the qualitative factors to determine whether it was more likely than not that the fair value of the indefinite-lived intangible asset was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83845"/>
                <wp:effectExtent l="0" t="0" r="0" b="0"/>
                <wp:wrapNone/>
                <wp:docPr id="176" name="Frame16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231F20"/>
          <w:sz w:val="20"/>
        </w:rPr>
        <w:t>than the carrying amount. The qualitative factors considered included, but were not limited to, macroeconomic conditions, industry and market considerations, and the Company’s overall financial performance. If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carrying</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reporting</w:t>
      </w:r>
      <w:r>
        <w:rPr>
          <w:color w:val="231F20"/>
        </w:rPr>
        <w:t xml:space="preserve"> </w:t>
      </w:r>
      <w:r>
        <w:rPr>
          <w:rFonts w:ascii="Arial;sans-serif" w:hAnsi="Arial;sans-serif"/>
          <w:b w:val="false"/>
          <w:color w:val="231F20"/>
          <w:sz w:val="20"/>
        </w:rPr>
        <w:t>unit</w:t>
      </w:r>
      <w:r>
        <w:rPr>
          <w:color w:val="231F20"/>
        </w:rPr>
        <w:t xml:space="preserve"> </w:t>
      </w:r>
      <w:r>
        <w:rPr>
          <w:rFonts w:ascii="Arial;sans-serif" w:hAnsi="Arial;sans-serif"/>
          <w:b w:val="false"/>
          <w:color w:val="231F20"/>
          <w:sz w:val="20"/>
        </w:rPr>
        <w:t>or intangible asset exceeded</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the Company recorded</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loss 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excess.</w:t>
      </w:r>
      <w:r>
        <w:rPr>
          <w:color w:val="231F20"/>
        </w:rPr>
        <w:t xml:space="preserve"> </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The Company fully impaired goodwill as of December 31, 2024, resulting in no remaining carrying value. In addition, the Company fully impaired its IPR&amp;D assets as of December 31, 2025, resulting in no remaining carrying value as of that date. </w:t>
      </w:r>
    </w:p>
    <w:p>
      <w:pPr>
        <w:pStyle w:val="TextBody"/>
        <w:bidi w:val="0"/>
        <w:spacing w:lineRule="auto" w:line="288" w:before="240" w:after="283"/>
        <w:jc w:val="left"/>
        <w:rPr/>
      </w:pPr>
      <w:r>
        <w:rPr>
          <w:rFonts w:ascii="Arial;sans-serif" w:hAnsi="Arial;sans-serif"/>
          <w:b/>
          <w:i/>
          <w:color w:val="231F20"/>
          <w:sz w:val="20"/>
        </w:rPr>
        <w:t>Impairment</w:t>
      </w:r>
      <w:r>
        <w:rPr>
          <w:color w:val="231F20"/>
        </w:rPr>
        <w:t xml:space="preserve"> </w:t>
      </w:r>
      <w:r>
        <w:rPr>
          <w:rFonts w:ascii="Arial;sans-serif" w:hAnsi="Arial;sans-serif"/>
          <w:b/>
          <w:i/>
          <w:color w:val="231F20"/>
          <w:sz w:val="20"/>
        </w:rPr>
        <w:t>of</w:t>
      </w:r>
      <w:r>
        <w:rPr>
          <w:color w:val="231F20"/>
        </w:rPr>
        <w:t xml:space="preserve"> </w:t>
      </w:r>
      <w:r>
        <w:rPr>
          <w:rFonts w:ascii="Arial;sans-serif" w:hAnsi="Arial;sans-serif"/>
          <w:b/>
          <w:i/>
          <w:color w:val="231F20"/>
          <w:sz w:val="20"/>
        </w:rPr>
        <w:t>Long-Lived</w:t>
      </w:r>
      <w:r>
        <w:rPr>
          <w:color w:val="231F20"/>
        </w:rPr>
        <w:t xml:space="preserve"> </w:t>
      </w:r>
      <w:r>
        <w:rPr>
          <w:rFonts w:ascii="Arial;sans-serif" w:hAnsi="Arial;sans-serif"/>
          <w:b/>
          <w:i/>
          <w:color w:val="231F20"/>
          <w:sz w:val="20"/>
        </w:rPr>
        <w:t>Assets</w:t>
      </w:r>
    </w:p>
    <w:p>
      <w:pPr>
        <w:pStyle w:val="TextBody"/>
        <w:bidi w:val="0"/>
        <w:spacing w:lineRule="auto" w:line="288" w:before="240" w:after="283"/>
        <w:ind w:left="0" w:right="0" w:firstLine="450"/>
        <w:jc w:val="left"/>
        <w:rPr/>
      </w:pPr>
      <w:r>
        <w:rPr>
          <w:rFonts w:ascii="Arial;sans-serif" w:hAnsi="Arial;sans-serif"/>
          <w:b w:val="false"/>
          <w:color w:val="231F20"/>
          <w:sz w:val="20"/>
        </w:rPr>
        <w:t>Long-lived</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than</w:t>
      </w:r>
      <w:r>
        <w:rPr>
          <w:color w:val="231F20"/>
        </w:rPr>
        <w:t xml:space="preserve"> </w:t>
      </w:r>
      <w:r>
        <w:rPr>
          <w:rFonts w:ascii="Arial;sans-serif" w:hAnsi="Arial;sans-serif"/>
          <w:b w:val="false"/>
          <w:color w:val="231F20"/>
          <w:sz w:val="20"/>
        </w:rPr>
        <w:t>goodwill</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IPR&amp;D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described</w:t>
      </w:r>
      <w:r>
        <w:rPr>
          <w:color w:val="231F20"/>
        </w:rPr>
        <w:t xml:space="preserve"> </w:t>
      </w:r>
      <w:r>
        <w:rPr>
          <w:rFonts w:ascii="Arial;sans-serif" w:hAnsi="Arial;sans-serif"/>
          <w:b w:val="false"/>
          <w:color w:val="231F20"/>
          <w:sz w:val="20"/>
        </w:rPr>
        <w:t>above),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evaluated</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indications</w:t>
      </w:r>
      <w:r>
        <w:rPr>
          <w:color w:val="231F20"/>
        </w:rPr>
        <w:t xml:space="preserve"> </w:t>
      </w:r>
      <w:r>
        <w:rPr>
          <w:rFonts w:ascii="Arial;sans-serif" w:hAnsi="Arial;sans-serif"/>
          <w:b w:val="false"/>
          <w:color w:val="231F20"/>
          <w:sz w:val="20"/>
        </w:rPr>
        <w:t>of possible</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whenever</w:t>
      </w:r>
      <w:r>
        <w:rPr>
          <w:color w:val="231F20"/>
        </w:rPr>
        <w:t xml:space="preserve"> </w:t>
      </w:r>
      <w:r>
        <w:rPr>
          <w:rFonts w:ascii="Arial;sans-serif" w:hAnsi="Arial;sans-serif"/>
          <w:b w:val="false"/>
          <w:color w:val="231F20"/>
          <w:sz w:val="20"/>
        </w:rPr>
        <w:t>events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changes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circumstances</w:t>
      </w:r>
      <w:r>
        <w:rPr>
          <w:color w:val="231F20"/>
        </w:rPr>
        <w:t xml:space="preserve"> </w:t>
      </w:r>
      <w:r>
        <w:rPr>
          <w:rFonts w:ascii="Arial;sans-serif" w:hAnsi="Arial;sans-serif"/>
          <w:b w:val="false"/>
          <w:color w:val="231F20"/>
          <w:sz w:val="20"/>
        </w:rPr>
        <w:t>indicate</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carrying</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asset may</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recoverable.</w:t>
      </w:r>
      <w:r>
        <w:rPr>
          <w:color w:val="231F20"/>
        </w:rPr>
        <w:t xml:space="preserve"> </w:t>
      </w:r>
      <w:r>
        <w:rPr>
          <w:rFonts w:ascii="Arial;sans-serif" w:hAnsi="Arial;sans-serif"/>
          <w:b w:val="false"/>
          <w:color w:val="231F20"/>
          <w:sz w:val="20"/>
        </w:rPr>
        <w:t>Recoverability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measured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comparison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carrying</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future undiscounted</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flows</w:t>
      </w:r>
      <w:r>
        <w:rPr>
          <w:color w:val="231F20"/>
        </w:rPr>
        <w:t xml:space="preserve"> </w:t>
      </w:r>
      <w:r>
        <w:rPr>
          <w:rFonts w:ascii="Arial;sans-serif" w:hAnsi="Arial;sans-serif"/>
          <w:b w:val="false"/>
          <w:color w:val="231F20"/>
          <w:sz w:val="20"/>
        </w:rPr>
        <w:t>attributable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Should</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exist,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would</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measured as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carrying</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exceeds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those</w:t>
      </w:r>
      <w:r>
        <w:rPr>
          <w:color w:val="231F20"/>
        </w:rPr>
        <w:t xml:space="preserve"> </w:t>
      </w:r>
      <w:r>
        <w:rPr>
          <w:rFonts w:ascii="Arial;sans-serif" w:hAnsi="Arial;sans-serif"/>
          <w:b w:val="false"/>
          <w:color w:val="231F20"/>
          <w:sz w:val="20"/>
        </w:rPr>
        <w:t>assets.</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Segments</w:t>
      </w:r>
    </w:p>
    <w:p>
      <w:pPr>
        <w:pStyle w:val="TextBody"/>
        <w:bidi w:val="0"/>
        <w:spacing w:lineRule="auto" w:line="288" w:before="240" w:after="283"/>
        <w:ind w:left="0" w:right="0" w:firstLine="450"/>
        <w:jc w:val="left"/>
        <w:rPr/>
      </w:pPr>
      <w:r>
        <w:rPr>
          <w:rFonts w:ascii="Arial;sans-serif" w:hAnsi="Arial;sans-serif"/>
          <w:b w:val="false"/>
          <w:color w:val="231F20"/>
          <w:sz w:val="20"/>
        </w:rPr>
        <w:t>The Company operates</w:t>
      </w:r>
      <w:r>
        <w:rPr>
          <w:color w:val="231F20"/>
        </w:rPr>
        <w:t xml:space="preserve"> </w:t>
      </w:r>
      <w:r>
        <w:rPr>
          <w:rFonts w:ascii="Arial;sans-serif" w:hAnsi="Arial;sans-serif"/>
          <w:b w:val="false"/>
          <w:color w:val="231F20"/>
          <w:sz w:val="20"/>
        </w:rPr>
        <w:t>and manages</w:t>
      </w:r>
      <w:r>
        <w:rPr>
          <w:color w:val="231F20"/>
        </w:rPr>
        <w:t xml:space="preserve"> </w:t>
      </w:r>
      <w:r>
        <w:rPr>
          <w:rFonts w:ascii="Arial;sans-serif" w:hAnsi="Arial;sans-serif"/>
          <w:b w:val="false"/>
          <w:color w:val="231F20"/>
          <w:sz w:val="20"/>
        </w:rPr>
        <w:t>its business</w:t>
      </w:r>
      <w:r>
        <w:rPr>
          <w:color w:val="231F20"/>
        </w:rPr>
        <w:t xml:space="preserve"> </w:t>
      </w:r>
      <w:r>
        <w:rPr>
          <w:rFonts w:ascii="Arial;sans-serif" w:hAnsi="Arial;sans-serif"/>
          <w:b w:val="false"/>
          <w:color w:val="231F20"/>
          <w:sz w:val="20"/>
        </w:rPr>
        <w:t>as one reportable</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segment</w:t>
      </w:r>
      <w:r>
        <w:rPr>
          <w:color w:val="231F20"/>
        </w:rPr>
        <w:t xml:space="preserve"> </w:t>
      </w:r>
      <w:r>
        <w:rPr>
          <w:rFonts w:ascii="Arial;sans-serif" w:hAnsi="Arial;sans-serif"/>
          <w:b w:val="false"/>
          <w:color w:val="231F20"/>
          <w:sz w:val="20"/>
        </w:rPr>
        <w:t>which provides multi-cancer</w:t>
      </w:r>
      <w:r>
        <w:rPr>
          <w:color w:val="231F20"/>
        </w:rPr>
        <w:t xml:space="preserve"> </w:t>
      </w:r>
      <w:r>
        <w:rPr>
          <w:rFonts w:ascii="Arial;sans-serif" w:hAnsi="Arial;sans-serif"/>
          <w:b w:val="false"/>
          <w:color w:val="231F20"/>
          <w:sz w:val="20"/>
        </w:rPr>
        <w:t>early</w:t>
      </w:r>
      <w:r>
        <w:rPr>
          <w:color w:val="231F20"/>
        </w:rPr>
        <w:t xml:space="preserve"> </w:t>
      </w:r>
      <w:r>
        <w:rPr>
          <w:rFonts w:ascii="Arial;sans-serif" w:hAnsi="Arial;sans-serif"/>
          <w:b w:val="false"/>
          <w:color w:val="231F20"/>
          <w:sz w:val="20"/>
        </w:rPr>
        <w:t>detection</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The chief</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decision</w:t>
      </w:r>
      <w:r>
        <w:rPr>
          <w:color w:val="231F20"/>
        </w:rPr>
        <w:t xml:space="preserve"> </w:t>
      </w:r>
      <w:r>
        <w:rPr>
          <w:rFonts w:ascii="Arial;sans-serif" w:hAnsi="Arial;sans-serif"/>
          <w:b w:val="false"/>
          <w:color w:val="231F20"/>
          <w:sz w:val="20"/>
        </w:rPr>
        <w:t>maker</w:t>
      </w:r>
      <w:r>
        <w:rPr>
          <w:color w:val="231F20"/>
        </w:rPr>
        <w:t xml:space="preserve"> </w:t>
      </w:r>
      <w:r>
        <w:rPr>
          <w:rFonts w:ascii="Arial;sans-serif" w:hAnsi="Arial;sans-serif"/>
          <w:b w:val="false"/>
          <w:color w:val="231F20"/>
          <w:sz w:val="20"/>
        </w:rPr>
        <w:t>(“CODM”) reviews</w:t>
      </w:r>
      <w:r>
        <w:rPr>
          <w:color w:val="231F20"/>
        </w:rPr>
        <w:t xml:space="preserve"> </w:t>
      </w:r>
      <w:r>
        <w:rPr>
          <w:rFonts w:ascii="Arial;sans-serif" w:hAnsi="Arial;sans-serif"/>
          <w:b w:val="false"/>
          <w:color w:val="231F20"/>
          <w:sz w:val="20"/>
        </w:rPr>
        <w:t>financial information</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aggregate</w:t>
      </w:r>
      <w:r>
        <w:rPr>
          <w:color w:val="231F20"/>
        </w:rPr>
        <w:t xml:space="preserve"> </w:t>
      </w:r>
      <w:r>
        <w:rPr>
          <w:rFonts w:ascii="Arial;sans-serif" w:hAnsi="Arial;sans-serif"/>
          <w:b w:val="false"/>
          <w:color w:val="231F20"/>
          <w:sz w:val="20"/>
        </w:rPr>
        <w:t>basis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purposes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evaluating</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allocating</w:t>
      </w:r>
      <w:r>
        <w:rPr>
          <w:color w:val="231F20"/>
        </w:rPr>
        <w:t xml:space="preserve"> </w:t>
      </w:r>
      <w:r>
        <w:rPr>
          <w:rFonts w:ascii="Arial;sans-serif" w:hAnsi="Arial;sans-serif"/>
          <w:b w:val="false"/>
          <w:color w:val="231F20"/>
          <w:sz w:val="20"/>
        </w:rPr>
        <w:t>the company</w:t>
      </w:r>
      <w:r>
        <w:rPr>
          <w:color w:val="231F20"/>
        </w:rPr>
        <w:t xml:space="preserve"> </w:t>
      </w:r>
      <w:r>
        <w:rPr>
          <w:rFonts w:ascii="Arial;sans-serif" w:hAnsi="Arial;sans-serif"/>
          <w:b w:val="false"/>
          <w:color w:val="231F20"/>
          <w:sz w:val="20"/>
        </w:rPr>
        <w:t>resources.</w:t>
      </w:r>
      <w:r>
        <w:rPr>
          <w:color w:val="231F20"/>
        </w:rPr>
        <w:t xml:space="preserve"> </w:t>
      </w:r>
      <w:r>
        <w:rPr>
          <w:rFonts w:ascii="Arial;sans-serif" w:hAnsi="Arial;sans-serif"/>
          <w:b w:val="false"/>
          <w:color w:val="231F20"/>
          <w:sz w:val="20"/>
        </w:rPr>
        <w:t>Substantially</w:t>
      </w:r>
      <w:r>
        <w:rPr>
          <w:color w:val="231F20"/>
        </w:rPr>
        <w:t xml:space="preserve"> </w:t>
      </w:r>
      <w:r>
        <w:rPr>
          <w:rFonts w:ascii="Arial;sans-serif" w:hAnsi="Arial;sans-serif"/>
          <w:b w:val="false"/>
          <w:color w:val="231F20"/>
          <w:sz w:val="20"/>
        </w:rPr>
        <w:t>all</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long-lived</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located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U.S.</w:t>
      </w:r>
    </w:p>
    <w:p>
      <w:pPr>
        <w:pStyle w:val="TextBody"/>
        <w:bidi w:val="0"/>
        <w:spacing w:lineRule="auto" w:line="288" w:before="240" w:after="283"/>
        <w:jc w:val="left"/>
        <w:rPr/>
      </w:pPr>
      <w:r>
        <w:rPr>
          <w:rFonts w:ascii="Arial;sans-serif" w:hAnsi="Arial;sans-serif"/>
          <w:b/>
          <w:i/>
          <w:color w:val="231F20"/>
          <w:sz w:val="20"/>
        </w:rPr>
        <w:t>Revenue</w:t>
      </w:r>
      <w:r>
        <w:rPr>
          <w:color w:val="231F20"/>
        </w:rPr>
        <w:t xml:space="preserve"> </w:t>
      </w:r>
      <w:r>
        <w:rPr>
          <w:rFonts w:ascii="Arial;sans-serif" w:hAnsi="Arial;sans-serif"/>
          <w:b/>
          <w:i/>
          <w:color w:val="231F20"/>
          <w:sz w:val="20"/>
        </w:rPr>
        <w:t>Recognition</w:t>
      </w:r>
    </w:p>
    <w:p>
      <w:pPr>
        <w:pStyle w:val="TextBody"/>
        <w:bidi w:val="0"/>
        <w:spacing w:lineRule="auto" w:line="288" w:before="240" w:after="283"/>
        <w:ind w:left="0" w:right="0" w:firstLine="450"/>
        <w:jc w:val="left"/>
        <w:rPr/>
      </w:pP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accounted</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accordance</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Topic</w:t>
      </w:r>
      <w:r>
        <w:rPr>
          <w:color w:val="231F20"/>
        </w:rPr>
        <w:t xml:space="preserve"> </w:t>
      </w:r>
      <w:r>
        <w:rPr>
          <w:rFonts w:ascii="Arial;sans-serif" w:hAnsi="Arial;sans-serif"/>
          <w:b w:val="false"/>
          <w:color w:val="231F20"/>
          <w:sz w:val="20"/>
        </w:rPr>
        <w:t>606,</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provides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five-step</w:t>
      </w:r>
      <w:r>
        <w:rPr>
          <w:color w:val="231F20"/>
        </w:rPr>
        <w:t xml:space="preserve"> </w:t>
      </w:r>
      <w:r>
        <w:rPr>
          <w:rFonts w:ascii="Arial;sans-serif" w:hAnsi="Arial;sans-serif"/>
          <w:b w:val="false"/>
          <w:color w:val="231F20"/>
          <w:sz w:val="20"/>
        </w:rPr>
        <w:t>model</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includes identifying</w:t>
      </w:r>
      <w:r>
        <w:rPr>
          <w:color w:val="231F20"/>
        </w:rPr>
        <w:t xml:space="preserve"> </w:t>
      </w:r>
      <w:r>
        <w:rPr>
          <w:rFonts w:ascii="Arial;sans-serif" w:hAnsi="Arial;sans-serif"/>
          <w:b w:val="false"/>
          <w:color w:val="231F20"/>
          <w:sz w:val="20"/>
        </w:rPr>
        <w:t>the contract</w:t>
      </w:r>
      <w:r>
        <w:rPr>
          <w:color w:val="231F20"/>
        </w:rPr>
        <w:t xml:space="preserve"> </w:t>
      </w:r>
      <w:r>
        <w:rPr>
          <w:rFonts w:ascii="Arial;sans-serif" w:hAnsi="Arial;sans-serif"/>
          <w:b w:val="false"/>
          <w:color w:val="231F20"/>
          <w:sz w:val="20"/>
        </w:rPr>
        <w:t>with a customer,</w:t>
      </w:r>
      <w:r>
        <w:rPr>
          <w:color w:val="231F20"/>
        </w:rPr>
        <w:t xml:space="preserve"> </w:t>
      </w:r>
      <w:r>
        <w:rPr>
          <w:rFonts w:ascii="Arial;sans-serif" w:hAnsi="Arial;sans-serif"/>
          <w:b w:val="false"/>
          <w:color w:val="231F20"/>
          <w:sz w:val="20"/>
        </w:rPr>
        <w:t>identifying</w:t>
      </w:r>
      <w:r>
        <w:rPr>
          <w:color w:val="231F20"/>
        </w:rPr>
        <w:t xml:space="preserve"> </w:t>
      </w:r>
      <w:r>
        <w:rPr>
          <w:rFonts w:ascii="Arial;sans-serif" w:hAnsi="Arial;sans-serif"/>
          <w:b w:val="false"/>
          <w:color w:val="231F20"/>
          <w:sz w:val="20"/>
        </w:rPr>
        <w:t>the 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in the contract,</w:t>
      </w:r>
      <w:r>
        <w:rPr>
          <w:color w:val="231F20"/>
        </w:rPr>
        <w:t xml:space="preserve"> </w:t>
      </w:r>
      <w:r>
        <w:rPr>
          <w:rFonts w:ascii="Arial;sans-serif" w:hAnsi="Arial;sans-serif"/>
          <w:b w:val="false"/>
          <w:color w:val="231F20"/>
          <w:sz w:val="20"/>
        </w:rPr>
        <w:t>determining</w:t>
      </w:r>
      <w:r>
        <w:rPr>
          <w:color w:val="231F20"/>
        </w:rPr>
        <w:t xml:space="preserve"> </w:t>
      </w:r>
      <w:r>
        <w:rPr>
          <w:rFonts w:ascii="Arial;sans-serif" w:hAnsi="Arial;sans-serif"/>
          <w:b w:val="false"/>
          <w:color w:val="231F20"/>
          <w:sz w:val="20"/>
        </w:rPr>
        <w:t>the transaction</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allocating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transaction</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to the</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and recognizing</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when, or</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entity</w:t>
      </w:r>
      <w:r>
        <w:rPr>
          <w:color w:val="231F20"/>
        </w:rPr>
        <w:t xml:space="preserve"> </w:t>
      </w:r>
      <w:r>
        <w:rPr>
          <w:rFonts w:ascii="Arial;sans-serif" w:hAnsi="Arial;sans-serif"/>
          <w:b w:val="false"/>
          <w:color w:val="231F20"/>
          <w:sz w:val="20"/>
        </w:rPr>
        <w:t>satisfies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w:t>
      </w:r>
      <w:r>
        <w:rPr>
          <w:color w:val="231F20"/>
        </w:rPr>
        <w:t xml:space="preserve"> </w:t>
      </w:r>
      <w:r>
        <w:rPr>
          <w:rFonts w:ascii="Arial;sans-serif" w:hAnsi="Arial;sans-serif"/>
          <w:b w:val="false"/>
          <w:color w:val="231F20"/>
          <w:sz w:val="20"/>
        </w:rPr>
        <w:t>Revenues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derived</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screening</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 services.</w:t>
      </w:r>
      <w:r>
        <w:rPr>
          <w:color w:val="231F20"/>
        </w:rPr>
        <w:t xml:space="preserve"> </w:t>
      </w:r>
      <w:r>
        <w:rPr>
          <w:rFonts w:ascii="Arial;sans-serif" w:hAnsi="Arial;sans-serif"/>
          <w:b w:val="false"/>
          <w:color w:val="231F20"/>
          <w:sz w:val="20"/>
        </w:rPr>
        <w:t>The Company’s revenues</w:t>
      </w:r>
      <w:r>
        <w:rPr>
          <w:color w:val="231F20"/>
        </w:rPr>
        <w:t xml:space="preserve"> </w:t>
      </w:r>
      <w:r>
        <w:rPr>
          <w:rFonts w:ascii="Arial;sans-serif" w:hAnsi="Arial;sans-serif"/>
          <w:b w:val="false"/>
          <w:color w:val="231F20"/>
          <w:sz w:val="20"/>
        </w:rPr>
        <w:t>were primarily</w:t>
      </w:r>
      <w:r>
        <w:rPr>
          <w:color w:val="231F20"/>
        </w:rPr>
        <w:t xml:space="preserve"> </w:t>
      </w:r>
      <w:r>
        <w:rPr>
          <w:rFonts w:ascii="Arial;sans-serif" w:hAnsi="Arial;sans-serif"/>
          <w:b w:val="false"/>
          <w:color w:val="231F20"/>
          <w:sz w:val="20"/>
        </w:rPr>
        <w:t>generated</w:t>
      </w:r>
      <w:r>
        <w:rPr>
          <w:color w:val="231F20"/>
        </w:rPr>
        <w:t xml:space="preserve"> </w:t>
      </w:r>
      <w:r>
        <w:rPr>
          <w:rFonts w:ascii="Arial;sans-serif" w:hAnsi="Arial;sans-serif"/>
          <w:b w:val="false"/>
          <w:color w:val="231F20"/>
          <w:sz w:val="20"/>
        </w:rPr>
        <w:t>in the U.S.</w:t>
      </w:r>
    </w:p>
    <w:p>
      <w:pPr>
        <w:pStyle w:val="TextBody"/>
        <w:bidi w:val="0"/>
        <w:spacing w:lineRule="auto" w:line="288" w:before="240" w:after="283"/>
        <w:jc w:val="left"/>
        <w:rPr/>
      </w:pPr>
      <w:r>
        <w:rPr>
          <w:rFonts w:ascii="Arial;sans-serif" w:hAnsi="Arial;sans-serif"/>
          <w:b/>
          <w:i/>
          <w:color w:val="231F20"/>
          <w:sz w:val="20"/>
        </w:rPr>
        <w:t>Screening</w:t>
      </w:r>
      <w:r>
        <w:rPr>
          <w:color w:val="231F20"/>
        </w:rPr>
        <w:t xml:space="preserve"> </w:t>
      </w:r>
      <w:r>
        <w:rPr>
          <w:rFonts w:ascii="Arial;sans-serif" w:hAnsi="Arial;sans-serif"/>
          <w:b/>
          <w:i/>
          <w:color w:val="231F20"/>
          <w:sz w:val="20"/>
        </w:rPr>
        <w:t>Revenue</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recognizes</w:t>
      </w:r>
      <w:r>
        <w:rPr>
          <w:color w:val="231F20"/>
        </w:rPr>
        <w:t xml:space="preserve"> </w:t>
      </w:r>
      <w:r>
        <w:rPr>
          <w:rFonts w:ascii="Arial;sans-serif" w:hAnsi="Arial;sans-serif"/>
          <w:b w:val="false"/>
          <w:color w:val="231F20"/>
          <w:sz w:val="20"/>
        </w:rPr>
        <w:t>screening</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sale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cancer</w:t>
      </w:r>
      <w:r>
        <w:rPr>
          <w:color w:val="231F20"/>
        </w:rPr>
        <w:t xml:space="preserve"> </w:t>
      </w:r>
      <w:r>
        <w:rPr>
          <w:rFonts w:ascii="Arial;sans-serif" w:hAnsi="Arial;sans-serif"/>
          <w:b w:val="false"/>
          <w:color w:val="231F20"/>
          <w:sz w:val="20"/>
        </w:rPr>
        <w:t>screening</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patients. Patients</w:t>
      </w:r>
      <w:r>
        <w:rPr>
          <w:color w:val="231F20"/>
        </w:rPr>
        <w:t xml:space="preserve"> </w:t>
      </w:r>
      <w:r>
        <w:rPr>
          <w:rFonts w:ascii="Arial;sans-serif" w:hAnsi="Arial;sans-serif"/>
          <w:b w:val="false"/>
          <w:color w:val="231F20"/>
          <w:sz w:val="20"/>
        </w:rPr>
        <w:t>obtain</w:t>
      </w:r>
      <w:r>
        <w:rPr>
          <w:color w:val="231F20"/>
        </w:rPr>
        <w:t xml:space="preserve"> </w:t>
      </w:r>
      <w:r>
        <w:rPr>
          <w:rFonts w:ascii="Arial;sans-serif" w:hAnsi="Arial;sans-serif"/>
          <w:b w:val="false"/>
          <w:color w:val="231F20"/>
          <w:sz w:val="20"/>
        </w:rPr>
        <w:t>tests</w:t>
      </w:r>
      <w:r>
        <w:rPr>
          <w:color w:val="231F20"/>
        </w:rPr>
        <w:t xml:space="preserve"> </w:t>
      </w:r>
      <w:r>
        <w:rPr>
          <w:rFonts w:ascii="Arial;sans-serif" w:hAnsi="Arial;sans-serif"/>
          <w:b w:val="false"/>
          <w:color w:val="231F20"/>
          <w:sz w:val="20"/>
        </w:rPr>
        <w:t>via</w:t>
      </w:r>
      <w:r>
        <w:rPr>
          <w:color w:val="231F20"/>
        </w:rPr>
        <w:t xml:space="preserve"> </w:t>
      </w:r>
      <w:r>
        <w:rPr>
          <w:rFonts w:ascii="Arial;sans-serif" w:hAnsi="Arial;sans-serif"/>
          <w:b w:val="false"/>
          <w:color w:val="231F20"/>
          <w:sz w:val="20"/>
        </w:rPr>
        <w:t>healthcare</w:t>
      </w:r>
      <w:r>
        <w:rPr>
          <w:color w:val="231F20"/>
        </w:rPr>
        <w:t xml:space="preserve"> </w:t>
      </w:r>
      <w:r>
        <w:rPr>
          <w:rFonts w:ascii="Arial;sans-serif" w:hAnsi="Arial;sans-serif"/>
          <w:b w:val="false"/>
          <w:color w:val="231F20"/>
          <w:sz w:val="20"/>
        </w:rPr>
        <w:t>systems,</w:t>
      </w:r>
      <w:r>
        <w:rPr>
          <w:color w:val="231F20"/>
        </w:rPr>
        <w:t xml:space="preserve"> </w:t>
      </w:r>
      <w:r>
        <w:rPr>
          <w:rFonts w:ascii="Arial;sans-serif" w:hAnsi="Arial;sans-serif"/>
          <w:b w:val="false"/>
          <w:color w:val="231F20"/>
          <w:sz w:val="20"/>
        </w:rPr>
        <w:t>employers,</w:t>
      </w:r>
      <w:r>
        <w:rPr>
          <w:color w:val="231F20"/>
        </w:rPr>
        <w:t xml:space="preserve"> </w:t>
      </w:r>
      <w:r>
        <w:rPr>
          <w:rFonts w:ascii="Arial;sans-serif" w:hAnsi="Arial;sans-serif"/>
          <w:b w:val="false"/>
          <w:color w:val="231F20"/>
          <w:sz w:val="20"/>
        </w:rPr>
        <w:t>digital health platforms, payors,</w:t>
      </w:r>
      <w:r>
        <w:rPr>
          <w:color w:val="231F20"/>
        </w:rPr>
        <w:t xml:space="preserve"> </w:t>
      </w:r>
      <w:r>
        <w:rPr>
          <w:rFonts w:ascii="Arial;sans-serif" w:hAnsi="Arial;sans-serif"/>
          <w:b w:val="false"/>
          <w:color w:val="231F20"/>
          <w:sz w:val="20"/>
        </w:rPr>
        <w:t>concierge</w:t>
      </w:r>
      <w:r>
        <w:rPr>
          <w:color w:val="231F20"/>
        </w:rPr>
        <w:t xml:space="preserve"> </w:t>
      </w:r>
      <w:r>
        <w:rPr>
          <w:rFonts w:ascii="Arial;sans-serif" w:hAnsi="Arial;sans-serif"/>
          <w:b w:val="false"/>
          <w:color w:val="231F20"/>
          <w:sz w:val="20"/>
        </w:rPr>
        <w:t>medicine</w:t>
      </w:r>
      <w:r>
        <w:rPr>
          <w:color w:val="231F20"/>
        </w:rPr>
        <w:t xml:space="preserve"> </w:t>
      </w:r>
      <w:r>
        <w:rPr>
          <w:rFonts w:ascii="Arial;sans-serif" w:hAnsi="Arial;sans-serif"/>
          <w:b w:val="false"/>
          <w:color w:val="231F20"/>
          <w:sz w:val="20"/>
        </w:rPr>
        <w:t>practices,</w:t>
      </w:r>
      <w:r>
        <w:rPr>
          <w:color w:val="231F20"/>
        </w:rPr>
        <w:t xml:space="preserve"> </w:t>
      </w:r>
      <w:r>
        <w:rPr>
          <w:rFonts w:ascii="Arial;sans-serif" w:hAnsi="Arial;sans-serif"/>
          <w:b w:val="false"/>
          <w:color w:val="231F20"/>
          <w:sz w:val="20"/>
        </w:rPr>
        <w:t>life</w:t>
      </w:r>
      <w:r>
        <w:rPr>
          <w:color w:val="231F20"/>
        </w:rPr>
        <w:t xml:space="preserve"> </w:t>
      </w:r>
      <w:r>
        <w:rPr>
          <w:rFonts w:ascii="Arial;sans-serif" w:hAnsi="Arial;sans-serif"/>
          <w:b w:val="false"/>
          <w:color w:val="231F20"/>
          <w:sz w:val="20"/>
        </w:rPr>
        <w:t>insurance providers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directly</w:t>
      </w:r>
      <w:r>
        <w:rPr>
          <w:color w:val="231F20"/>
        </w:rPr>
        <w:t xml:space="preserve"> </w:t>
      </w:r>
      <w:r>
        <w:rPr>
          <w:rFonts w:ascii="Arial;sans-serif" w:hAnsi="Arial;sans-serif"/>
          <w:b w:val="false"/>
          <w:color w:val="231F20"/>
          <w:sz w:val="20"/>
        </w:rPr>
        <w:t>via</w:t>
      </w:r>
      <w:r>
        <w:rPr>
          <w:color w:val="231F20"/>
        </w:rPr>
        <w:t xml:space="preserve"> </w:t>
      </w:r>
      <w:r>
        <w:rPr>
          <w:rFonts w:ascii="Arial;sans-serif" w:hAnsi="Arial;sans-serif"/>
          <w:b w:val="false"/>
          <w:color w:val="231F20"/>
          <w:sz w:val="20"/>
        </w:rPr>
        <w:t>telemedicine.</w:t>
      </w:r>
      <w:r>
        <w:rPr>
          <w:color w:val="231F20"/>
        </w:rPr>
        <w:t xml:space="preserve"> </w:t>
      </w:r>
      <w:r>
        <w:rPr>
          <w:rFonts w:ascii="Arial;sans-serif" w:hAnsi="Arial;sans-serif"/>
          <w:b w:val="false"/>
          <w:color w:val="231F20"/>
          <w:sz w:val="20"/>
        </w:rPr>
        <w:t>Patients</w:t>
      </w:r>
      <w:r>
        <w:rPr>
          <w:color w:val="231F20"/>
        </w:rPr>
        <w:t xml:space="preserve"> </w:t>
      </w:r>
      <w:r>
        <w:rPr>
          <w:rFonts w:ascii="Arial;sans-serif" w:hAnsi="Arial;sans-serif"/>
          <w:b w:val="false"/>
          <w:color w:val="231F20"/>
          <w:sz w:val="20"/>
        </w:rPr>
        <w:t>receive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multi-cancer</w:t>
      </w:r>
      <w:r>
        <w:rPr>
          <w:color w:val="231F20"/>
        </w:rPr>
        <w:t xml:space="preserve"> </w:t>
      </w:r>
      <w:r>
        <w:rPr>
          <w:rFonts w:ascii="Arial;sans-serif" w:hAnsi="Arial;sans-serif"/>
          <w:b w:val="false"/>
          <w:color w:val="231F20"/>
          <w:sz w:val="20"/>
        </w:rPr>
        <w:t>early</w:t>
      </w:r>
      <w:r>
        <w:rPr>
          <w:color w:val="231F20"/>
        </w:rPr>
        <w:t xml:space="preserve"> </w:t>
      </w:r>
      <w:r>
        <w:rPr>
          <w:rFonts w:ascii="Arial;sans-serif" w:hAnsi="Arial;sans-serif"/>
          <w:b w:val="false"/>
          <w:color w:val="231F20"/>
          <w:sz w:val="20"/>
        </w:rPr>
        <w:t>detection</w:t>
      </w:r>
      <w:r>
        <w:rPr>
          <w:color w:val="231F20"/>
        </w:rPr>
        <w:t xml:space="preserve"> </w:t>
      </w:r>
      <w:r>
        <w:rPr>
          <w:rFonts w:ascii="Arial;sans-serif" w:hAnsi="Arial;sans-serif"/>
          <w:b w:val="false"/>
          <w:color w:val="231F20"/>
          <w:sz w:val="20"/>
        </w:rPr>
        <w:t>kit</w:t>
      </w:r>
      <w:r>
        <w:rPr>
          <w:color w:val="231F20"/>
        </w:rPr>
        <w:t xml:space="preserve"> </w:t>
      </w:r>
      <w:r>
        <w:rPr>
          <w:rFonts w:ascii="Arial;sans-serif" w:hAnsi="Arial;sans-serif"/>
          <w:b w:val="false"/>
          <w:color w:val="231F20"/>
          <w:sz w:val="20"/>
        </w:rPr>
        <w:t>after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order</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placed and</w:t>
      </w:r>
      <w:r>
        <w:rPr>
          <w:color w:val="231F20"/>
        </w:rPr>
        <w:t xml:space="preserve"> </w:t>
      </w:r>
      <w:r>
        <w:rPr>
          <w:rFonts w:ascii="Arial;sans-serif" w:hAnsi="Arial;sans-serif"/>
          <w:b w:val="false"/>
          <w:color w:val="231F20"/>
          <w:sz w:val="20"/>
        </w:rPr>
        <w:t>complete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blood</w:t>
      </w:r>
      <w:r>
        <w:rPr>
          <w:color w:val="231F20"/>
        </w:rPr>
        <w:t xml:space="preserve"> </w:t>
      </w:r>
      <w:r>
        <w:rPr>
          <w:rFonts w:ascii="Arial;sans-serif" w:hAnsi="Arial;sans-serif"/>
          <w:b w:val="false"/>
          <w:color w:val="231F20"/>
          <w:sz w:val="20"/>
        </w:rPr>
        <w:t>draw.</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specimen</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then</w:t>
      </w:r>
      <w:r>
        <w:rPr>
          <w:color w:val="231F20"/>
        </w:rPr>
        <w:t xml:space="preserve"> </w:t>
      </w:r>
      <w:r>
        <w:rPr>
          <w:rFonts w:ascii="Arial;sans-serif" w:hAnsi="Arial;sans-serif"/>
          <w:b w:val="false"/>
          <w:color w:val="231F20"/>
          <w:sz w:val="20"/>
        </w:rPr>
        <w:t>sent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lab,</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processed,</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result</w:t>
      </w:r>
      <w:r>
        <w:rPr>
          <w:color w:val="231F20"/>
        </w:rPr>
        <w:t xml:space="preserve"> </w:t>
      </w:r>
      <w:r>
        <w:rPr>
          <w:rFonts w:ascii="Arial;sans-serif" w:hAnsi="Arial;sans-serif"/>
          <w:b w:val="false"/>
          <w:color w:val="231F20"/>
          <w:sz w:val="20"/>
        </w:rPr>
        <w:t>is electronically</w:t>
      </w:r>
      <w:r>
        <w:rPr>
          <w:color w:val="231F20"/>
        </w:rPr>
        <w:t xml:space="preserve"> </w:t>
      </w:r>
      <w:r>
        <w:rPr>
          <w:rFonts w:ascii="Arial;sans-serif" w:hAnsi="Arial;sans-serif"/>
          <w:b w:val="false"/>
          <w:color w:val="231F20"/>
          <w:sz w:val="20"/>
        </w:rPr>
        <w:t>delivered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patients</w:t>
      </w:r>
      <w:r>
        <w:rPr>
          <w:color w:val="231F20"/>
        </w:rPr>
        <w:t xml:space="preserve">’ </w:t>
      </w:r>
      <w:r>
        <w:rPr>
          <w:rFonts w:ascii="Arial;sans-serif" w:hAnsi="Arial;sans-serif"/>
          <w:b w:val="false"/>
          <w:color w:val="231F20"/>
          <w:sz w:val="20"/>
        </w:rPr>
        <w:t>physician.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000000"/>
          <w:sz w:val="20"/>
        </w:rPr>
        <w:t xml:space="preserve">is generally based on our list price, with discounts in certain channels, or, for certain customers, such as larger, higher-volume customers or international distributors, negotiated contractual rates. </w:t>
      </w:r>
      <w:r>
        <w:rPr>
          <w:rFonts w:ascii="Arial;sans-serif" w:hAnsi="Arial;sans-serif"/>
          <w:b w:val="false"/>
          <w:color w:val="000000"/>
          <w:sz w:val="20"/>
          <w:shd w:fill="FFFFFF" w:val="clear"/>
        </w:rPr>
        <w:t>F</w:t>
      </w:r>
      <w:r>
        <w:rPr>
          <w:rFonts w:ascii="Arial;sans-serif" w:hAnsi="Arial;sans-serif"/>
          <w:b w:val="false"/>
          <w:color w:val="000000"/>
          <w:sz w:val="20"/>
        </w:rPr>
        <w:t>or certain customers, we also offer rebates.</w:t>
      </w:r>
      <w:r>
        <w:rPr>
          <w:color w:val="000000"/>
          <w:shd w:fill="FFFFFF" w:val="clear"/>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identifies</w:t>
      </w:r>
      <w:r>
        <w:rPr>
          <w:color w:val="231F20"/>
        </w:rPr>
        <w:t xml:space="preserve"> </w:t>
      </w:r>
      <w:r>
        <w:rPr>
          <w:rFonts w:ascii="Arial;sans-serif" w:hAnsi="Arial;sans-serif"/>
          <w:b w:val="false"/>
          <w:color w:val="231F20"/>
          <w:sz w:val="20"/>
        </w:rPr>
        <w:t>each sale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customer</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single</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w:t>
      </w:r>
      <w:r>
        <w:rPr>
          <w:color w:val="231F20"/>
        </w:rPr>
        <w:t xml:space="preserve"> </w:t>
      </w:r>
      <w:r>
        <w:rPr>
          <w:rFonts w:ascii="Arial;sans-serif" w:hAnsi="Arial;sans-serif"/>
          <w:b w:val="false"/>
          <w:color w:val="231F20"/>
          <w:sz w:val="20"/>
        </w:rPr>
        <w:t>therefore,</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point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time when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result</w:t>
      </w:r>
      <w:r>
        <w:rPr>
          <w:color w:val="231F20"/>
        </w:rPr>
        <w:t xml:space="preserve"> </w:t>
      </w:r>
      <w:r>
        <w:rPr>
          <w:rFonts w:ascii="Arial;sans-serif" w:hAnsi="Arial;sans-serif"/>
          <w:b w:val="false"/>
          <w:color w:val="231F20"/>
          <w:sz w:val="20"/>
        </w:rPr>
        <w:t>report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delivered.</w:t>
      </w:r>
      <w:r>
        <w:rPr>
          <w:color w:val="231F20"/>
        </w:rPr>
        <w:t xml:space="preserve"> </w:t>
      </w:r>
      <w:r>
        <w:rPr>
          <w:rFonts w:ascii="Arial;sans-serif" w:hAnsi="Arial;sans-serif"/>
          <w:b w:val="false"/>
          <w:color w:val="231F20"/>
          <w:sz w:val="20"/>
        </w:rPr>
        <w:t>Invoices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due</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30</w:t>
      </w:r>
      <w:r>
        <w:rPr>
          <w:color w:val="231F20"/>
        </w:rPr>
        <w:t xml:space="preserve"> </w:t>
      </w:r>
      <w:r>
        <w:rPr>
          <w:rFonts w:ascii="Arial;sans-serif" w:hAnsi="Arial;sans-serif"/>
          <w:b w:val="false"/>
          <w:color w:val="231F20"/>
          <w:sz w:val="20"/>
        </w:rPr>
        <w:t>days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receipt.</w:t>
      </w:r>
    </w:p>
    <w:p>
      <w:pPr>
        <w:pStyle w:val="TextBody"/>
        <w:bidi w:val="0"/>
        <w:spacing w:lineRule="auto" w:line="288" w:before="240" w:after="283"/>
        <w:ind w:left="0" w:right="0" w:firstLine="450"/>
        <w:jc w:val="left"/>
        <w:rPr/>
      </w:pPr>
      <w:r>
        <w:rPr>
          <w:rFonts w:ascii="Arial;sans-serif" w:hAnsi="Arial;sans-serif"/>
          <w:b w:val="false"/>
          <w:color w:val="231F20"/>
          <w:sz w:val="20"/>
        </w:rPr>
        <w:t>For self-pay</w:t>
      </w:r>
      <w:r>
        <w:rPr>
          <w:color w:val="231F20"/>
        </w:rPr>
        <w:t xml:space="preserve"> </w:t>
      </w:r>
      <w:r>
        <w:rPr>
          <w:rFonts w:ascii="Arial;sans-serif" w:hAnsi="Arial;sans-serif"/>
          <w:b w:val="false"/>
          <w:color w:val="231F20"/>
          <w:sz w:val="20"/>
        </w:rPr>
        <w:t>patients,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has concluded</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an implied</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exists,</w:t>
      </w:r>
      <w:r>
        <w:rPr>
          <w:color w:val="231F20"/>
        </w:rPr>
        <w:t xml:space="preserve"> </w:t>
      </w:r>
      <w:r>
        <w:rPr>
          <w:rFonts w:ascii="Arial;sans-serif" w:hAnsi="Arial;sans-serif"/>
          <w:b w:val="false"/>
          <w:color w:val="231F20"/>
          <w:sz w:val="20"/>
        </w:rPr>
        <w:t>however the</w:t>
      </w:r>
      <w:r>
        <w:rPr>
          <w:color w:val="231F20"/>
        </w:rPr>
        <w:t xml:space="preserve"> </w:t>
      </w:r>
      <w:r>
        <w:rPr>
          <w:rFonts w:ascii="Arial;sans-serif" w:hAnsi="Arial;sans-serif"/>
          <w:b w:val="false"/>
          <w:color w:val="231F20"/>
          <w:sz w:val="20"/>
        </w:rPr>
        <w:t>transaction price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implied</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represents</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consideration</w:t>
      </w:r>
      <w:r>
        <w:rPr>
          <w:color w:val="231F20"/>
        </w:rPr>
        <w:t xml:space="preserve"> </w:t>
      </w:r>
      <w:r>
        <w:rPr>
          <w:rFonts w:ascii="Arial;sans-serif" w:hAnsi="Arial;sans-serif"/>
          <w:b w:val="false"/>
          <w:color w:val="231F20"/>
          <w:sz w:val="20"/>
        </w:rPr>
        <w:t>as there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situations</w:t>
      </w:r>
      <w:r>
        <w:rPr>
          <w:color w:val="231F20"/>
        </w:rPr>
        <w:t xml:space="preserve"> </w:t>
      </w:r>
      <w:r>
        <w:rPr>
          <w:rFonts w:ascii="Arial;sans-serif" w:hAnsi="Arial;sans-serif"/>
          <w:b w:val="false"/>
          <w:color w:val="231F20"/>
          <w:sz w:val="20"/>
        </w:rPr>
        <w:t>in which the</w:t>
      </w:r>
      <w:r>
        <w:rPr>
          <w:color w:val="231F20"/>
        </w:rPr>
        <w:t xml:space="preserve"> </w:t>
      </w:r>
      <w:r>
        <w:rPr>
          <w:rFonts w:ascii="Arial;sans-serif" w:hAnsi="Arial;sans-serif"/>
          <w:b w:val="false"/>
          <w:color w:val="231F20"/>
          <w:sz w:val="20"/>
        </w:rPr>
        <w:t>Company is not</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collect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full</w:t>
      </w:r>
      <w:r>
        <w:rPr>
          <w:color w:val="231F20"/>
        </w:rPr>
        <w:t xml:space="preserve"> </w:t>
      </w:r>
      <w:r>
        <w:rPr>
          <w:rFonts w:ascii="Arial;sans-serif" w:hAnsi="Arial;sans-serif"/>
          <w:b w:val="false"/>
          <w:color w:val="231F20"/>
          <w:sz w:val="20"/>
        </w:rPr>
        <w:t>invoiced</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self-pay</w:t>
      </w:r>
      <w:r>
        <w:rPr>
          <w:color w:val="231F20"/>
        </w:rPr>
        <w:t xml:space="preserve"> </w:t>
      </w:r>
      <w:r>
        <w:rPr>
          <w:rFonts w:ascii="Arial;sans-serif" w:hAnsi="Arial;sans-serif"/>
          <w:b w:val="false"/>
          <w:color w:val="231F20"/>
          <w:sz w:val="20"/>
        </w:rPr>
        <w:t>patients</w:t>
      </w:r>
      <w:r>
        <w:rPr>
          <w:color w:val="231F20"/>
        </w:rPr>
        <w:t xml:space="preserve"> </w:t>
      </w:r>
      <w:r>
        <w:rPr>
          <w:rFonts w:ascii="Arial;sans-serif" w:hAnsi="Arial;sans-serif"/>
          <w:b w:val="false"/>
          <w:color w:val="231F20"/>
          <w:sz w:val="20"/>
        </w:rPr>
        <w:t>due to</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concessions.</w:t>
      </w:r>
      <w:r>
        <w:rPr>
          <w:color w:val="231F20"/>
        </w:rPr>
        <w:t xml:space="preserve"> </w:t>
      </w:r>
      <w:r>
        <w:rPr>
          <w:rFonts w:ascii="Arial;sans-serif" w:hAnsi="Arial;sans-serif"/>
          <w:b w:val="false"/>
          <w:color w:val="231F20"/>
          <w:sz w:val="20"/>
        </w:rPr>
        <w:t>The Company utilizes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approach</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estimate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transaction</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applies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constraint</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variable consideration,</w:t>
      </w:r>
      <w:r>
        <w:rPr>
          <w:color w:val="231F20"/>
        </w:rPr>
        <w:t xml:space="preserve"> </w:t>
      </w:r>
      <w:r>
        <w:rPr>
          <w:rFonts w:ascii="Arial;sans-serif" w:hAnsi="Arial;sans-serif"/>
          <w:b w:val="false"/>
          <w:color w:val="231F20"/>
          <w:sz w:val="20"/>
        </w:rPr>
        <w:t>on a portfolio</w:t>
      </w:r>
      <w:r>
        <w:rPr>
          <w:color w:val="231F20"/>
        </w:rPr>
        <w:t xml:space="preserve"> </w:t>
      </w:r>
      <w:r>
        <w:rPr>
          <w:rFonts w:ascii="Arial;sans-serif" w:hAnsi="Arial;sans-serif"/>
          <w:b w:val="false"/>
          <w:color w:val="231F20"/>
          <w:sz w:val="20"/>
        </w:rPr>
        <w:t>basis. The Company monitors</w:t>
      </w:r>
      <w:r>
        <w:rPr>
          <w:color w:val="231F20"/>
        </w:rPr>
        <w:t xml:space="preserve"> </w:t>
      </w:r>
      <w:r>
        <w:rPr>
          <w:rFonts w:ascii="Arial;sans-serif" w:hAnsi="Arial;sans-serif"/>
          <w:b w:val="false"/>
          <w:color w:val="231F20"/>
          <w:sz w:val="20"/>
        </w:rPr>
        <w:t>the estimated</w:t>
      </w:r>
      <w:r>
        <w:rPr>
          <w:color w:val="231F20"/>
        </w:rPr>
        <w:t xml:space="preserve"> </w:t>
      </w:r>
      <w:r>
        <w:rPr>
          <w:rFonts w:ascii="Arial;sans-serif" w:hAnsi="Arial;sans-serif"/>
          <w:b w:val="false"/>
          <w:color w:val="231F20"/>
          <w:sz w:val="20"/>
        </w:rPr>
        <w:t>amounts</w:t>
      </w:r>
      <w:r>
        <w:rPr>
          <w:color w:val="231F20"/>
        </w:rPr>
        <w:t xml:space="preserve"> </w:t>
      </w:r>
      <w:r>
        <w:rPr>
          <w:rFonts w:ascii="Arial;sans-serif" w:hAnsi="Arial;sans-serif"/>
          <w:b w:val="false"/>
          <w:color w:val="231F20"/>
          <w:sz w:val="20"/>
        </w:rPr>
        <w:t>to be collected</w:t>
      </w:r>
      <w:r>
        <w:rPr>
          <w:color w:val="231F20"/>
        </w:rPr>
        <w:t xml:space="preserve"> </w:t>
      </w:r>
      <w:r>
        <w:rPr>
          <w:rFonts w:ascii="Arial;sans-serif" w:hAnsi="Arial;sans-serif"/>
          <w:b w:val="false"/>
          <w:color w:val="231F20"/>
          <w:sz w:val="20"/>
        </w:rPr>
        <w:t>at each reporting</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actual</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collections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order</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assess</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revision</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required. Both the estimate</w:t>
      </w:r>
      <w:r>
        <w:rPr>
          <w:color w:val="231F20"/>
        </w:rPr>
        <w:t xml:space="preserve"> </w:t>
      </w:r>
      <w:r>
        <w:rPr>
          <w:rFonts w:ascii="Arial;sans-serif" w:hAnsi="Arial;sans-serif"/>
          <w:b w:val="false"/>
          <w:color w:val="231F20"/>
          <w:sz w:val="20"/>
        </w:rPr>
        <w:t>and any subsequent</w:t>
      </w:r>
      <w:r>
        <w:rPr>
          <w:color w:val="231F20"/>
        </w:rPr>
        <w:t xml:space="preserve"> </w:t>
      </w:r>
      <w:r>
        <w:rPr>
          <w:rFonts w:ascii="Arial;sans-serif" w:hAnsi="Arial;sans-serif"/>
          <w:b w:val="false"/>
          <w:color w:val="231F20"/>
          <w:sz w:val="20"/>
        </w:rPr>
        <w:t>revision</w:t>
      </w:r>
      <w:r>
        <w:rPr>
          <w:color w:val="231F20"/>
        </w:rPr>
        <w:t xml:space="preserve"> </w:t>
      </w:r>
      <w:r>
        <w:rPr>
          <w:rFonts w:ascii="Arial;sans-serif" w:hAnsi="Arial;sans-serif"/>
          <w:b w:val="false"/>
          <w:color w:val="231F20"/>
          <w:sz w:val="20"/>
        </w:rPr>
        <w:t>contain uncertainty</w:t>
      </w:r>
      <w:r>
        <w:rPr>
          <w:color w:val="231F20"/>
        </w:rPr>
        <w:t xml:space="preserve"> </w:t>
      </w:r>
      <w:r>
        <w:rPr>
          <w:rFonts w:ascii="Arial;sans-serif" w:hAnsi="Arial;sans-serif"/>
          <w:b w:val="false"/>
          <w:color w:val="231F20"/>
          <w:sz w:val="20"/>
        </w:rPr>
        <w:t>and require</w:t>
      </w:r>
      <w:r>
        <w:rPr>
          <w:color w:val="231F20"/>
        </w:rPr>
        <w:t xml:space="preserve"> </w:t>
      </w:r>
      <w:r>
        <w:rPr>
          <w:rFonts w:ascii="Arial;sans-serif" w:hAnsi="Arial;sans-serif"/>
          <w:b w:val="false"/>
          <w:color w:val="231F20"/>
          <w:sz w:val="20"/>
        </w:rPr>
        <w:t>the use of significant</w:t>
      </w:r>
      <w:r>
        <w:rPr>
          <w:color w:val="231F20"/>
        </w:rPr>
        <w:t xml:space="preserve"> </w:t>
      </w:r>
      <w:r>
        <w:rPr>
          <w:rFonts w:ascii="Arial;sans-serif" w:hAnsi="Arial;sans-serif"/>
          <w:b w:val="false"/>
          <w:color w:val="231F20"/>
          <w:sz w:val="20"/>
        </w:rPr>
        <w:t>judgment</w:t>
      </w:r>
      <w:r>
        <w:rPr>
          <w:color w:val="231F20"/>
        </w:rPr>
        <w:t xml:space="preserve"> </w:t>
      </w:r>
      <w:r>
        <w:rPr>
          <w:rFonts w:ascii="Arial;sans-serif" w:hAnsi="Arial;sans-serif"/>
          <w:b w:val="false"/>
          <w:color w:val="231F20"/>
          <w:sz w:val="20"/>
        </w:rPr>
        <w:t>in the</w:t>
      </w:r>
      <w:r>
        <w:rPr>
          <w:color w:val="231F20"/>
        </w:rPr>
        <w:t xml:space="preserve"> </w:t>
      </w:r>
      <w:r>
        <w:rPr>
          <w:rFonts w:ascii="Arial;sans-serif" w:hAnsi="Arial;sans-serif"/>
          <w:b w:val="false"/>
          <w:color w:val="231F20"/>
          <w:sz w:val="20"/>
        </w:rPr>
        <w:t>estimation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consideration</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application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constraint</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consideration.</w:t>
      </w:r>
      <w:r>
        <w:rPr>
          <w:color w:val="231F20"/>
        </w:rPr>
        <w:t xml:space="preserve"> </w:t>
      </w:r>
      <w:r>
        <w:rPr>
          <w:rFonts w:ascii="Arial;sans-serif" w:hAnsi="Arial;sans-serif"/>
          <w:b w:val="false"/>
          <w:color w:val="231F20"/>
          <w:sz w:val="20"/>
        </w:rPr>
        <w:t>The Company</w:t>
      </w:r>
      <w:r>
        <w:rPr>
          <w:color w:val="231F20"/>
        </w:rPr>
        <w:t xml:space="preserve"> </w:t>
      </w:r>
      <w:r>
        <w:rPr>
          <w:rFonts w:ascii="Arial;sans-serif" w:hAnsi="Arial;sans-serif"/>
          <w:b w:val="false"/>
          <w:color w:val="231F20"/>
          <w:sz w:val="20"/>
        </w:rPr>
        <w:t>analyzes</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actual</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collections</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collection</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compares</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 xml:space="preserve">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83845"/>
                <wp:effectExtent l="0" t="0" r="0" b="0"/>
                <wp:wrapNone/>
                <wp:docPr id="177" name="Frame16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consideration</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each</w:t>
      </w:r>
      <w:r>
        <w:rPr>
          <w:color w:val="231F20"/>
        </w:rPr>
        <w:t xml:space="preserve"> </w:t>
      </w:r>
      <w:r>
        <w:rPr>
          <w:rFonts w:ascii="Arial;sans-serif" w:hAnsi="Arial;sans-serif"/>
          <w:b w:val="false"/>
          <w:color w:val="231F20"/>
          <w:sz w:val="20"/>
        </w:rPr>
        <w:t>portfolio</w:t>
      </w:r>
      <w:r>
        <w:rPr>
          <w:color w:val="231F20"/>
        </w:rPr>
        <w:t xml:space="preserve"> </w:t>
      </w:r>
      <w:r>
        <w:rPr>
          <w:rFonts w:ascii="Arial;sans-serif" w:hAnsi="Arial;sans-serif"/>
          <w:b w:val="false"/>
          <w:color w:val="231F20"/>
          <w:sz w:val="20"/>
        </w:rPr>
        <w:t>and any difference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as an adjustment</w:t>
      </w:r>
      <w:r>
        <w:rPr>
          <w:color w:val="231F20"/>
        </w:rPr>
        <w:t xml:space="preserve"> </w:t>
      </w:r>
      <w:r>
        <w:rPr>
          <w:rFonts w:ascii="Arial;sans-serif" w:hAnsi="Arial;sans-serif"/>
          <w:b w:val="false"/>
          <w:color w:val="231F20"/>
          <w:sz w:val="20"/>
        </w:rPr>
        <w:t>to estimated revenue</w:t>
      </w:r>
      <w:r>
        <w:rPr>
          <w:color w:val="231F20"/>
        </w:rPr>
        <w:t xml:space="preserve"> </w:t>
      </w:r>
      <w:r>
        <w:rPr>
          <w:rFonts w:ascii="Arial;sans-serif" w:hAnsi="Arial;sans-serif"/>
          <w:b w:val="false"/>
          <w:color w:val="231F20"/>
          <w:sz w:val="20"/>
        </w:rPr>
        <w:t>after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collection</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subject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assessment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risk</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reversal.</w:t>
      </w:r>
    </w:p>
    <w:p>
      <w:pPr>
        <w:pStyle w:val="TextBody"/>
        <w:bidi w:val="0"/>
        <w:spacing w:lineRule="auto" w:line="288" w:before="240" w:after="283"/>
        <w:jc w:val="left"/>
        <w:rPr/>
      </w:pPr>
      <w:r>
        <w:rPr>
          <w:rFonts w:ascii="Arial;sans-serif" w:hAnsi="Arial;sans-serif"/>
          <w:b/>
          <w:i/>
          <w:color w:val="231F20"/>
          <w:sz w:val="20"/>
        </w:rPr>
        <w:t>Development</w:t>
      </w:r>
      <w:r>
        <w:rPr>
          <w:color w:val="231F20"/>
        </w:rPr>
        <w:t xml:space="preserve"> </w:t>
      </w:r>
      <w:r>
        <w:rPr>
          <w:rFonts w:ascii="Arial;sans-serif" w:hAnsi="Arial;sans-serif"/>
          <w:b/>
          <w:i/>
          <w:color w:val="231F20"/>
          <w:sz w:val="20"/>
        </w:rPr>
        <w:t>Services</w:t>
      </w:r>
      <w:r>
        <w:rPr>
          <w:color w:val="231F20"/>
        </w:rPr>
        <w:t xml:space="preserve"> </w:t>
      </w:r>
      <w:r>
        <w:rPr>
          <w:rFonts w:ascii="Arial;sans-serif" w:hAnsi="Arial;sans-serif"/>
          <w:b/>
          <w:i/>
          <w:color w:val="231F20"/>
          <w:sz w:val="20"/>
        </w:rPr>
        <w:t>Revenue</w:t>
      </w:r>
    </w:p>
    <w:p>
      <w:pPr>
        <w:pStyle w:val="TextBody"/>
        <w:bidi w:val="0"/>
        <w:spacing w:lineRule="auto" w:line="288" w:before="240" w:after="283"/>
        <w:ind w:left="0" w:right="0" w:firstLine="450"/>
        <w:jc w:val="left"/>
        <w:rPr/>
      </w:pP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includes</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activities</w:t>
      </w:r>
      <w:r>
        <w:rPr>
          <w:color w:val="231F20"/>
        </w:rPr>
        <w:t xml:space="preserve"> </w:t>
      </w:r>
      <w:r>
        <w:rPr>
          <w:rFonts w:ascii="Arial;sans-serif" w:hAnsi="Arial;sans-serif"/>
          <w:b w:val="false"/>
          <w:color w:val="231F20"/>
          <w:sz w:val="20"/>
        </w:rPr>
        <w:t>performed</w:t>
      </w:r>
      <w:r>
        <w:rPr>
          <w:color w:val="231F20"/>
        </w:rPr>
        <w:t xml:space="preserve"> </w:t>
      </w:r>
      <w:r>
        <w:rPr>
          <w:rFonts w:ascii="Arial;sans-serif" w:hAnsi="Arial;sans-serif"/>
          <w:b w:val="false"/>
          <w:color w:val="231F20"/>
          <w:sz w:val="20"/>
        </w:rPr>
        <w:t>in partnership</w:t>
      </w:r>
      <w:r>
        <w:rPr>
          <w:color w:val="231F20"/>
        </w:rPr>
        <w:t xml:space="preserve"> </w:t>
      </w:r>
      <w:r>
        <w:rPr>
          <w:rFonts w:ascii="Arial;sans-serif" w:hAnsi="Arial;sans-serif"/>
          <w:b w:val="false"/>
          <w:color w:val="231F20"/>
          <w:sz w:val="20"/>
        </w:rPr>
        <w:t>with biopharmaceutical</w:t>
      </w:r>
      <w:r>
        <w:rPr>
          <w:color w:val="231F20"/>
        </w:rPr>
        <w:t xml:space="preserve"> </w:t>
      </w:r>
      <w:r>
        <w:rPr>
          <w:rFonts w:ascii="Arial;sans-serif" w:hAnsi="Arial;sans-serif"/>
          <w:b w:val="false"/>
          <w:color w:val="231F20"/>
          <w:sz w:val="20"/>
        </w:rPr>
        <w:t>companies.</w:t>
      </w:r>
      <w:r>
        <w:rPr>
          <w:color w:val="231F20"/>
        </w:rPr>
        <w:t xml:space="preserve"> </w:t>
      </w:r>
      <w:r>
        <w:rPr>
          <w:rFonts w:ascii="Arial;sans-serif" w:hAnsi="Arial;sans-serif"/>
          <w:b w:val="false"/>
          <w:color w:val="231F20"/>
          <w:sz w:val="20"/>
        </w:rPr>
        <w:t>The Company’s</w:t>
      </w:r>
      <w:r>
        <w:rPr>
          <w:color w:val="231F20"/>
        </w:rPr>
        <w:t xml:space="preserve"> </w:t>
      </w:r>
      <w:r>
        <w:rPr>
          <w:rFonts w:ascii="Arial;sans-serif" w:hAnsi="Arial;sans-serif"/>
          <w:b w:val="false"/>
          <w:color w:val="231F20"/>
          <w:sz w:val="20"/>
        </w:rPr>
        <w:t>targeted</w:t>
      </w:r>
      <w:r>
        <w:rPr>
          <w:color w:val="231F20"/>
        </w:rPr>
        <w:t xml:space="preserve"> </w:t>
      </w:r>
      <w:r>
        <w:rPr>
          <w:rFonts w:ascii="Arial;sans-serif" w:hAnsi="Arial;sans-serif"/>
          <w:b w:val="false"/>
          <w:color w:val="231F20"/>
          <w:sz w:val="20"/>
        </w:rPr>
        <w:t>methylation-based</w:t>
      </w:r>
      <w:r>
        <w:rPr>
          <w:color w:val="231F20"/>
        </w:rPr>
        <w:t xml:space="preserve"> </w:t>
      </w:r>
      <w:r>
        <w:rPr>
          <w:rFonts w:ascii="Arial;sans-serif" w:hAnsi="Arial;sans-serif"/>
          <w:b w:val="false"/>
          <w:color w:val="231F20"/>
          <w:sz w:val="20"/>
        </w:rPr>
        <w:t>technology</w:t>
      </w:r>
      <w:r>
        <w:rPr>
          <w:color w:val="231F20"/>
        </w:rPr>
        <w:t xml:space="preserve"> </w:t>
      </w:r>
      <w:r>
        <w:rPr>
          <w:rFonts w:ascii="Arial;sans-serif" w:hAnsi="Arial;sans-serif"/>
          <w:b w:val="false"/>
          <w:color w:val="231F20"/>
          <w:sz w:val="20"/>
        </w:rPr>
        <w:t>enables</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of products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optimize</w:t>
      </w:r>
      <w:r>
        <w:rPr>
          <w:color w:val="231F20"/>
        </w:rPr>
        <w:t xml:space="preserve"> </w:t>
      </w:r>
      <w:r>
        <w:rPr>
          <w:rFonts w:ascii="Arial;sans-serif" w:hAnsi="Arial;sans-serif"/>
          <w:b w:val="false"/>
          <w:color w:val="231F20"/>
          <w:sz w:val="20"/>
        </w:rPr>
        <w:t>treatment</w:t>
      </w:r>
      <w:r>
        <w:rPr>
          <w:color w:val="231F20"/>
        </w:rPr>
        <w:t xml:space="preserve"> </w:t>
      </w:r>
      <w:r>
        <w:rPr>
          <w:rFonts w:ascii="Arial;sans-serif" w:hAnsi="Arial;sans-serif"/>
          <w:b w:val="false"/>
          <w:color w:val="231F20"/>
          <w:sz w:val="20"/>
        </w:rPr>
        <w:t>once</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cancer</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been</w:t>
      </w:r>
      <w:r>
        <w:rPr>
          <w:color w:val="231F20"/>
        </w:rPr>
        <w:t xml:space="preserve"> </w:t>
      </w:r>
      <w:r>
        <w:rPr>
          <w:rFonts w:ascii="Arial;sans-serif" w:hAnsi="Arial;sans-serif"/>
          <w:b w:val="false"/>
          <w:color w:val="231F20"/>
          <w:sz w:val="20"/>
        </w:rPr>
        <w:t>diagnosed.</w:t>
      </w:r>
      <w:r>
        <w:rPr>
          <w:color w:val="231F20"/>
        </w:rPr>
        <w:t xml:space="preserve"> </w:t>
      </w:r>
      <w:r>
        <w:rPr>
          <w:rFonts w:ascii="Arial;sans-serif" w:hAnsi="Arial;sans-serif"/>
          <w:b w:val="false"/>
          <w:color w:val="231F20"/>
          <w:sz w:val="20"/>
        </w:rPr>
        <w:t>Biopharmaceutical</w:t>
      </w:r>
      <w:r>
        <w:rPr>
          <w:color w:val="231F20"/>
        </w:rPr>
        <w:t xml:space="preserve"> </w:t>
      </w:r>
      <w:r>
        <w:rPr>
          <w:rFonts w:ascii="Arial;sans-serif" w:hAnsi="Arial;sans-serif"/>
          <w:b w:val="false"/>
          <w:color w:val="231F20"/>
          <w:sz w:val="20"/>
        </w:rPr>
        <w:t>partners engage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run</w:t>
      </w:r>
      <w:r>
        <w:rPr>
          <w:color w:val="231F20"/>
        </w:rPr>
        <w:t xml:space="preserve"> </w:t>
      </w:r>
      <w:r>
        <w:rPr>
          <w:rFonts w:ascii="Arial;sans-serif" w:hAnsi="Arial;sans-serif"/>
          <w:b w:val="false"/>
          <w:color w:val="231F20"/>
          <w:sz w:val="20"/>
        </w:rPr>
        <w:t>pilots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evaluate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learn</w:t>
      </w:r>
      <w:r>
        <w:rPr>
          <w:color w:val="231F20"/>
        </w:rPr>
        <w:t xml:space="preserve"> </w:t>
      </w:r>
      <w:r>
        <w:rPr>
          <w:rFonts w:ascii="Arial;sans-serif" w:hAnsi="Arial;sans-serif"/>
          <w:b w:val="false"/>
          <w:color w:val="231F20"/>
          <w:sz w:val="20"/>
        </w:rPr>
        <w:t>about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technology’s</w:t>
      </w:r>
      <w:r>
        <w:rPr>
          <w:color w:val="231F20"/>
        </w:rPr>
        <w:t xml:space="preserve"> </w:t>
      </w:r>
      <w:r>
        <w:rPr>
          <w:rFonts w:ascii="Arial;sans-serif" w:hAnsi="Arial;sans-serif"/>
          <w:b w:val="false"/>
          <w:color w:val="231F20"/>
          <w:sz w:val="20"/>
        </w:rPr>
        <w:t>application. The Company evaluates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terms</w:t>
      </w:r>
      <w:r>
        <w:rPr>
          <w:color w:val="231F20"/>
        </w:rPr>
        <w:t xml:space="preserve"> </w:t>
      </w:r>
      <w:r>
        <w:rPr>
          <w:rFonts w:ascii="Arial;sans-serif" w:hAnsi="Arial;sans-serif"/>
          <w:b w:val="false"/>
          <w:color w:val="231F20"/>
          <w:sz w:val="20"/>
        </w:rPr>
        <w:t>and conditions</w:t>
      </w:r>
      <w:r>
        <w:rPr>
          <w:color w:val="231F20"/>
        </w:rPr>
        <w:t xml:space="preserve"> </w:t>
      </w:r>
      <w:r>
        <w:rPr>
          <w:rFonts w:ascii="Arial;sans-serif" w:hAnsi="Arial;sans-serif"/>
          <w:b w:val="false"/>
          <w:color w:val="231F20"/>
          <w:sz w:val="20"/>
        </w:rPr>
        <w:t>included</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contracts</w:t>
      </w:r>
      <w:r>
        <w:rPr>
          <w:color w:val="231F20"/>
        </w:rPr>
        <w:t xml:space="preserve"> </w:t>
      </w:r>
      <w:r>
        <w:rPr>
          <w:rFonts w:ascii="Arial;sans-serif" w:hAnsi="Arial;sans-serif"/>
          <w:b w:val="false"/>
          <w:color w:val="231F20"/>
          <w:sz w:val="20"/>
        </w:rPr>
        <w:t>with biopharmaceutical</w:t>
      </w:r>
      <w:r>
        <w:rPr>
          <w:color w:val="231F20"/>
        </w:rPr>
        <w:t xml:space="preserve"> </w:t>
      </w:r>
      <w:r>
        <w:rPr>
          <w:rFonts w:ascii="Arial;sans-serif" w:hAnsi="Arial;sans-serif"/>
          <w:b w:val="false"/>
          <w:color w:val="231F20"/>
          <w:sz w:val="20"/>
        </w:rPr>
        <w:t>customers</w:t>
      </w:r>
      <w:r>
        <w:rPr>
          <w:color w:val="231F20"/>
        </w:rPr>
        <w:t xml:space="preserve"> </w:t>
      </w:r>
      <w:r>
        <w:rPr>
          <w:rFonts w:ascii="Arial;sans-serif" w:hAnsi="Arial;sans-serif"/>
          <w:b w:val="false"/>
          <w:color w:val="231F20"/>
          <w:sz w:val="20"/>
        </w:rPr>
        <w:t>to ensure</w:t>
      </w:r>
      <w:r>
        <w:rPr>
          <w:color w:val="231F20"/>
        </w:rPr>
        <w:t xml:space="preserve"> </w:t>
      </w:r>
      <w:r>
        <w:rPr>
          <w:rFonts w:ascii="Arial;sans-serif" w:hAnsi="Arial;sans-serif"/>
          <w:b w:val="false"/>
          <w:color w:val="231F20"/>
          <w:sz w:val="20"/>
        </w:rPr>
        <w:t>appropriate</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recognition,</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are considered</w:t>
      </w:r>
      <w:r>
        <w:rPr>
          <w:color w:val="231F20"/>
        </w:rPr>
        <w:t xml:space="preserve"> </w:t>
      </w:r>
      <w:r>
        <w:rPr>
          <w:rFonts w:ascii="Arial;sans-serif" w:hAnsi="Arial;sans-serif"/>
          <w:b w:val="false"/>
          <w:color w:val="231F20"/>
          <w:sz w:val="20"/>
        </w:rPr>
        <w:t>distinct</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The Company first</w:t>
      </w:r>
      <w:r>
        <w:rPr>
          <w:color w:val="231F20"/>
        </w:rPr>
        <w:t xml:space="preserve"> </w:t>
      </w:r>
      <w:r>
        <w:rPr>
          <w:rFonts w:ascii="Arial;sans-serif" w:hAnsi="Arial;sans-serif"/>
          <w:b w:val="false"/>
          <w:color w:val="231F20"/>
          <w:sz w:val="20"/>
        </w:rPr>
        <w:t>identifies</w:t>
      </w:r>
      <w:r>
        <w:rPr>
          <w:color w:val="231F20"/>
        </w:rPr>
        <w:t xml:space="preserve"> </w:t>
      </w:r>
      <w:r>
        <w:rPr>
          <w:rFonts w:ascii="Arial;sans-serif" w:hAnsi="Arial;sans-serif"/>
          <w:b w:val="false"/>
          <w:color w:val="231F20"/>
          <w:sz w:val="20"/>
        </w:rPr>
        <w:t>material</w:t>
      </w:r>
      <w:r>
        <w:rPr>
          <w:color w:val="231F20"/>
        </w:rPr>
        <w:t xml:space="preserve"> </w:t>
      </w:r>
      <w:r>
        <w:rPr>
          <w:rFonts w:ascii="Arial;sans-serif" w:hAnsi="Arial;sans-serif"/>
          <w:b w:val="false"/>
          <w:color w:val="231F20"/>
          <w:sz w:val="20"/>
        </w:rPr>
        <w:t>promises</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contract and</w:t>
      </w:r>
      <w:r>
        <w:rPr>
          <w:color w:val="231F20"/>
        </w:rPr>
        <w:t xml:space="preserve"> </w:t>
      </w:r>
      <w:r>
        <w:rPr>
          <w:rFonts w:ascii="Arial;sans-serif" w:hAnsi="Arial;sans-serif"/>
          <w:b w:val="false"/>
          <w:color w:val="231F20"/>
          <w:sz w:val="20"/>
        </w:rPr>
        <w:t>then</w:t>
      </w:r>
      <w:r>
        <w:rPr>
          <w:color w:val="231F20"/>
        </w:rPr>
        <w:t xml:space="preserve"> </w:t>
      </w:r>
      <w:r>
        <w:rPr>
          <w:rFonts w:ascii="Arial;sans-serif" w:hAnsi="Arial;sans-serif"/>
          <w:b w:val="false"/>
          <w:color w:val="231F20"/>
          <w:sz w:val="20"/>
        </w:rPr>
        <w:t>evaluates</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promises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capable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being</w:t>
      </w:r>
      <w:r>
        <w:rPr>
          <w:color w:val="231F20"/>
        </w:rPr>
        <w:t xml:space="preserve"> </w:t>
      </w:r>
      <w:r>
        <w:rPr>
          <w:rFonts w:ascii="Arial;sans-serif" w:hAnsi="Arial;sans-serif"/>
          <w:b w:val="false"/>
          <w:color w:val="231F20"/>
          <w:sz w:val="20"/>
        </w:rPr>
        <w:t>distinct</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context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In assessing</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promised</w:t>
      </w:r>
      <w:r>
        <w:rPr>
          <w:color w:val="231F20"/>
        </w:rPr>
        <w:t xml:space="preserve"> </w:t>
      </w:r>
      <w:r>
        <w:rPr>
          <w:rFonts w:ascii="Arial;sans-serif" w:hAnsi="Arial;sans-serif"/>
          <w:b w:val="false"/>
          <w:color w:val="231F20"/>
          <w:sz w:val="20"/>
        </w:rPr>
        <w:t>service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capable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being</w:t>
      </w:r>
      <w:r>
        <w:rPr>
          <w:color w:val="231F20"/>
        </w:rPr>
        <w:t xml:space="preserve"> </w:t>
      </w:r>
      <w:r>
        <w:rPr>
          <w:rFonts w:ascii="Arial;sans-serif" w:hAnsi="Arial;sans-serif"/>
          <w:b w:val="false"/>
          <w:color w:val="231F20"/>
          <w:sz w:val="20"/>
        </w:rPr>
        <w:t>distinct,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considers</w:t>
      </w:r>
      <w:r>
        <w:rPr>
          <w:color w:val="231F20"/>
        </w:rPr>
        <w:t xml:space="preserve"> </w:t>
      </w:r>
      <w:r>
        <w:rPr>
          <w:rFonts w:ascii="Arial;sans-serif" w:hAnsi="Arial;sans-serif"/>
          <w:b w:val="false"/>
          <w:color w:val="231F20"/>
          <w:sz w:val="20"/>
        </w:rPr>
        <w:t>whether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customer could</w:t>
      </w:r>
      <w:r>
        <w:rPr>
          <w:color w:val="231F20"/>
        </w:rPr>
        <w:t xml:space="preserve"> </w:t>
      </w:r>
      <w:r>
        <w:rPr>
          <w:rFonts w:ascii="Arial;sans-serif" w:hAnsi="Arial;sans-serif"/>
          <w:b w:val="false"/>
          <w:color w:val="231F20"/>
          <w:sz w:val="20"/>
        </w:rPr>
        <w:t>benefit</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service</w:t>
      </w:r>
      <w:r>
        <w:rPr>
          <w:color w:val="231F20"/>
        </w:rPr>
        <w:t xml:space="preserve"> </w:t>
      </w:r>
      <w:r>
        <w:rPr>
          <w:rFonts w:ascii="Arial;sans-serif" w:hAnsi="Arial;sans-serif"/>
          <w:b w:val="false"/>
          <w:color w:val="231F20"/>
          <w:sz w:val="20"/>
        </w:rPr>
        <w:t>either</w:t>
      </w:r>
      <w:r>
        <w:rPr>
          <w:color w:val="231F20"/>
        </w:rPr>
        <w:t xml:space="preserve"> </w:t>
      </w:r>
      <w:r>
        <w:rPr>
          <w:rFonts w:ascii="Arial;sans-serif" w:hAnsi="Arial;sans-serif"/>
          <w:b w:val="false"/>
          <w:color w:val="231F20"/>
          <w:sz w:val="20"/>
        </w:rPr>
        <w:t>on its</w:t>
      </w:r>
      <w:r>
        <w:rPr>
          <w:color w:val="231F20"/>
        </w:rPr>
        <w:t xml:space="preserve"> </w:t>
      </w:r>
      <w:r>
        <w:rPr>
          <w:rFonts w:ascii="Arial;sans-serif" w:hAnsi="Arial;sans-serif"/>
          <w:b w:val="false"/>
          <w:color w:val="231F20"/>
          <w:sz w:val="20"/>
        </w:rPr>
        <w:t>own or together</w:t>
      </w:r>
      <w:r>
        <w:rPr>
          <w:color w:val="231F20"/>
        </w:rPr>
        <w:t xml:space="preserve"> </w:t>
      </w:r>
      <w:r>
        <w:rPr>
          <w:rFonts w:ascii="Arial;sans-serif" w:hAnsi="Arial;sans-serif"/>
          <w:b w:val="false"/>
          <w:color w:val="231F20"/>
          <w:sz w:val="20"/>
        </w:rPr>
        <w:t>with other</w:t>
      </w:r>
      <w:r>
        <w:rPr>
          <w:color w:val="231F20"/>
        </w:rPr>
        <w:t xml:space="preserve"> </w:t>
      </w:r>
      <w:r>
        <w:rPr>
          <w:rFonts w:ascii="Arial;sans-serif" w:hAnsi="Arial;sans-serif"/>
          <w:b w:val="false"/>
          <w:color w:val="231F20"/>
          <w:sz w:val="20"/>
        </w:rPr>
        <w:t>resources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readily</w:t>
      </w:r>
      <w:r>
        <w:rPr>
          <w:color w:val="231F20"/>
        </w:rPr>
        <w:t xml:space="preserve"> </w:t>
      </w:r>
      <w:r>
        <w:rPr>
          <w:rFonts w:ascii="Arial;sans-serif" w:hAnsi="Arial;sans-serif"/>
          <w:b w:val="false"/>
          <w:color w:val="231F20"/>
          <w:sz w:val="20"/>
        </w:rPr>
        <w:t>available</w:t>
      </w:r>
      <w:r>
        <w:rPr>
          <w:color w:val="231F20"/>
        </w:rPr>
        <w:t xml:space="preserve"> </w:t>
      </w:r>
      <w:r>
        <w:rPr>
          <w:rFonts w:ascii="Arial;sans-serif" w:hAnsi="Arial;sans-serif"/>
          <w:b w:val="false"/>
          <w:color w:val="231F20"/>
          <w:sz w:val="20"/>
        </w:rPr>
        <w:t>to the customer,</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factors</w:t>
      </w:r>
      <w:r>
        <w:rPr>
          <w:color w:val="231F20"/>
        </w:rPr>
        <w:t xml:space="preserve"> </w:t>
      </w:r>
      <w:r>
        <w:rPr>
          <w:rFonts w:ascii="Arial;sans-serif" w:hAnsi="Arial;sans-serif"/>
          <w:b w:val="false"/>
          <w:color w:val="231F20"/>
          <w:sz w:val="20"/>
        </w:rPr>
        <w:t>such as the</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and commercialization</w:t>
      </w:r>
      <w:r>
        <w:rPr>
          <w:color w:val="231F20"/>
        </w:rPr>
        <w:t xml:space="preserve"> </w:t>
      </w:r>
      <w:r>
        <w:rPr>
          <w:rFonts w:ascii="Arial;sans-serif" w:hAnsi="Arial;sans-serif"/>
          <w:b w:val="false"/>
          <w:color w:val="231F20"/>
          <w:sz w:val="20"/>
        </w:rPr>
        <w:t>capabilities</w:t>
      </w:r>
      <w:r>
        <w:rPr>
          <w:color w:val="231F20"/>
        </w:rPr>
        <w:t xml:space="preserve"> </w:t>
      </w:r>
      <w:r>
        <w:rPr>
          <w:rFonts w:ascii="Arial;sans-serif" w:hAnsi="Arial;sans-serif"/>
          <w:b w:val="false"/>
          <w:color w:val="231F20"/>
          <w:sz w:val="20"/>
        </w:rPr>
        <w:t>of a third</w:t>
      </w:r>
      <w:r>
        <w:rPr>
          <w:color w:val="231F20"/>
        </w:rPr>
        <w:t xml:space="preserve"> </w:t>
      </w:r>
      <w:r>
        <w:rPr>
          <w:rFonts w:ascii="Arial;sans-serif" w:hAnsi="Arial;sans-serif"/>
          <w:b w:val="false"/>
          <w:color w:val="231F20"/>
          <w:sz w:val="20"/>
        </w:rPr>
        <w:t>party as</w:t>
      </w:r>
      <w:r>
        <w:rPr>
          <w:color w:val="231F20"/>
        </w:rPr>
        <w:t xml:space="preserve"> </w:t>
      </w:r>
      <w:r>
        <w:rPr>
          <w:rFonts w:ascii="Arial;sans-serif" w:hAnsi="Arial;sans-serif"/>
          <w:b w:val="false"/>
          <w:color w:val="231F20"/>
          <w:sz w:val="20"/>
        </w:rPr>
        <w:t>well</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availability</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associated</w:t>
      </w:r>
      <w:r>
        <w:rPr>
          <w:color w:val="231F20"/>
        </w:rPr>
        <w:t xml:space="preserve"> </w:t>
      </w:r>
      <w:r>
        <w:rPr>
          <w:rFonts w:ascii="Arial;sans-serif" w:hAnsi="Arial;sans-serif"/>
          <w:b w:val="false"/>
          <w:color w:val="231F20"/>
          <w:sz w:val="20"/>
        </w:rPr>
        <w:t>expertise</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general</w:t>
      </w:r>
      <w:r>
        <w:rPr>
          <w:color w:val="231F20"/>
        </w:rPr>
        <w:t xml:space="preserve"> </w:t>
      </w:r>
      <w:r>
        <w:rPr>
          <w:rFonts w:ascii="Arial;sans-serif" w:hAnsi="Arial;sans-serif"/>
          <w:b w:val="false"/>
          <w:color w:val="231F20"/>
          <w:sz w:val="20"/>
        </w:rPr>
        <w:t>marketplace.</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contracts</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multiple 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transaction</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allocated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separate</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relative standalone</w:t>
      </w:r>
      <w:r>
        <w:rPr>
          <w:color w:val="231F20"/>
        </w:rPr>
        <w:t xml:space="preserve"> </w:t>
      </w:r>
      <w:r>
        <w:rPr>
          <w:rFonts w:ascii="Arial;sans-serif" w:hAnsi="Arial;sans-serif"/>
          <w:b w:val="false"/>
          <w:color w:val="231F20"/>
          <w:sz w:val="20"/>
        </w:rPr>
        <w:t>selling</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basis.</w:t>
      </w:r>
      <w:r>
        <w:rPr>
          <w:color w:val="231F20"/>
        </w:rPr>
        <w:t xml:space="preserve"> </w:t>
      </w:r>
      <w:r>
        <w:rPr>
          <w:rFonts w:ascii="Arial;sans-serif" w:hAnsi="Arial;sans-serif"/>
          <w:b w:val="false"/>
          <w:color w:val="231F20"/>
          <w:sz w:val="20"/>
        </w:rPr>
        <w:t>The Company determines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standalone</w:t>
      </w:r>
      <w:r>
        <w:rPr>
          <w:color w:val="231F20"/>
        </w:rPr>
        <w:t xml:space="preserve"> </w:t>
      </w:r>
      <w:r>
        <w:rPr>
          <w:rFonts w:ascii="Arial;sans-serif" w:hAnsi="Arial;sans-serif"/>
          <w:b w:val="false"/>
          <w:color w:val="231F20"/>
          <w:sz w:val="20"/>
        </w:rPr>
        <w:t>selling</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by considering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historical selling</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similar</w:t>
      </w:r>
      <w:r>
        <w:rPr>
          <w:color w:val="231F20"/>
        </w:rPr>
        <w:t xml:space="preserve"> </w:t>
      </w:r>
      <w:r>
        <w:rPr>
          <w:rFonts w:ascii="Arial;sans-serif" w:hAnsi="Arial;sans-serif"/>
          <w:b w:val="false"/>
          <w:color w:val="231F20"/>
          <w:sz w:val="20"/>
        </w:rPr>
        <w:t>transactions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well</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factors,</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but</w:t>
      </w:r>
      <w:r>
        <w:rPr>
          <w:color w:val="231F20"/>
        </w:rPr>
        <w:t xml:space="preserve"> </w:t>
      </w:r>
      <w:r>
        <w:rPr>
          <w:rFonts w:ascii="Arial;sans-serif" w:hAnsi="Arial;sans-serif"/>
          <w:b w:val="false"/>
          <w:color w:val="231F20"/>
          <w:sz w:val="20"/>
        </w:rPr>
        <w:t>not limited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customers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market</w:t>
      </w:r>
      <w:r>
        <w:rPr>
          <w:color w:val="231F20"/>
        </w:rPr>
        <w:t xml:space="preserve"> </w:t>
      </w:r>
      <w:r>
        <w:rPr>
          <w:rFonts w:ascii="Arial;sans-serif" w:hAnsi="Arial;sans-serif"/>
          <w:b w:val="false"/>
          <w:color w:val="231F20"/>
          <w:sz w:val="20"/>
        </w:rPr>
        <w:t>would</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willing</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pay,</w:t>
      </w:r>
      <w:r>
        <w:rPr>
          <w:color w:val="231F20"/>
        </w:rPr>
        <w:t xml:space="preserve"> </w:t>
      </w:r>
      <w:r>
        <w:rPr>
          <w:rFonts w:ascii="Arial;sans-serif" w:hAnsi="Arial;sans-serif"/>
          <w:b w:val="false"/>
          <w:color w:val="231F20"/>
          <w:sz w:val="20"/>
        </w:rPr>
        <w:t>competitive</w:t>
      </w:r>
      <w:r>
        <w:rPr>
          <w:color w:val="231F20"/>
        </w:rPr>
        <w:t xml:space="preserve"> </w:t>
      </w:r>
      <w:r>
        <w:rPr>
          <w:rFonts w:ascii="Arial;sans-serif" w:hAnsi="Arial;sans-serif"/>
          <w:b w:val="false"/>
          <w:color w:val="231F20"/>
          <w:sz w:val="20"/>
        </w:rPr>
        <w:t>pricing</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vendors, industry</w:t>
      </w:r>
      <w:r>
        <w:rPr>
          <w:color w:val="231F20"/>
        </w:rPr>
        <w:t xml:space="preserve"> </w:t>
      </w:r>
      <w:r>
        <w:rPr>
          <w:rFonts w:ascii="Arial;sans-serif" w:hAnsi="Arial;sans-serif"/>
          <w:b w:val="false"/>
          <w:color w:val="231F20"/>
          <w:sz w:val="20"/>
        </w:rPr>
        <w:t>publications</w:t>
      </w:r>
      <w:r>
        <w:rPr>
          <w:color w:val="231F20"/>
        </w:rPr>
        <w:t xml:space="preserve"> </w:t>
      </w:r>
      <w:r>
        <w:rPr>
          <w:rFonts w:ascii="Arial;sans-serif" w:hAnsi="Arial;sans-serif"/>
          <w:b w:val="false"/>
          <w:color w:val="231F20"/>
          <w:sz w:val="20"/>
        </w:rPr>
        <w:t>and current</w:t>
      </w:r>
      <w:r>
        <w:rPr>
          <w:color w:val="231F20"/>
        </w:rPr>
        <w:t xml:space="preserve"> </w:t>
      </w:r>
      <w:r>
        <w:rPr>
          <w:rFonts w:ascii="Arial;sans-serif" w:hAnsi="Arial;sans-serif"/>
          <w:b w:val="false"/>
          <w:color w:val="231F20"/>
          <w:sz w:val="20"/>
        </w:rPr>
        <w:t>pricing</w:t>
      </w:r>
      <w:r>
        <w:rPr>
          <w:color w:val="231F20"/>
        </w:rPr>
        <w:t xml:space="preserve"> </w:t>
      </w:r>
      <w:r>
        <w:rPr>
          <w:rFonts w:ascii="Arial;sans-serif" w:hAnsi="Arial;sans-serif"/>
          <w:b w:val="false"/>
          <w:color w:val="231F20"/>
          <w:sz w:val="20"/>
        </w:rPr>
        <w:t>practices,</w:t>
      </w:r>
      <w:r>
        <w:rPr>
          <w:color w:val="231F20"/>
        </w:rPr>
        <w:t xml:space="preserve"> </w:t>
      </w:r>
      <w:r>
        <w:rPr>
          <w:rFonts w:ascii="Arial;sans-serif" w:hAnsi="Arial;sans-serif"/>
          <w:b w:val="false"/>
          <w:color w:val="231F20"/>
          <w:sz w:val="20"/>
        </w:rPr>
        <w:t>and expected</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of satisfying</w:t>
      </w:r>
      <w:r>
        <w:rPr>
          <w:color w:val="231F20"/>
        </w:rPr>
        <w:t xml:space="preserve"> </w:t>
      </w:r>
      <w:r>
        <w:rPr>
          <w:rFonts w:ascii="Arial;sans-serif" w:hAnsi="Arial;sans-serif"/>
          <w:b w:val="false"/>
          <w:color w:val="231F20"/>
          <w:sz w:val="20"/>
        </w:rPr>
        <w:t>each</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obligation plus</w:t>
      </w:r>
      <w:r>
        <w:rPr>
          <w:color w:val="231F20"/>
        </w:rPr>
        <w:t xml:space="preserve"> </w:t>
      </w:r>
      <w:r>
        <w:rPr>
          <w:rFonts w:ascii="Arial;sans-serif" w:hAnsi="Arial;sans-serif"/>
          <w:b w:val="false"/>
          <w:color w:val="231F20"/>
          <w:sz w:val="20"/>
        </w:rPr>
        <w:t>appropriate</w:t>
      </w:r>
      <w:r>
        <w:rPr>
          <w:color w:val="231F20"/>
        </w:rPr>
        <w:t xml:space="preserve"> </w:t>
      </w:r>
      <w:r>
        <w:rPr>
          <w:rFonts w:ascii="Arial;sans-serif" w:hAnsi="Arial;sans-serif"/>
          <w:b w:val="false"/>
          <w:color w:val="231F20"/>
          <w:sz w:val="20"/>
        </w:rPr>
        <w:t>margin;</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residual</w:t>
      </w:r>
      <w:r>
        <w:rPr>
          <w:color w:val="231F20"/>
        </w:rPr>
        <w:t xml:space="preserve"> </w:t>
      </w:r>
      <w:r>
        <w:rPr>
          <w:rFonts w:ascii="Arial;sans-serif" w:hAnsi="Arial;sans-serif"/>
          <w:b w:val="false"/>
          <w:color w:val="231F20"/>
          <w:sz w:val="20"/>
        </w:rPr>
        <w:t>approach</w:t>
      </w:r>
      <w:r>
        <w:rPr>
          <w:color w:val="231F20"/>
        </w:rPr>
        <w:t xml:space="preserve"> </w:t>
      </w:r>
      <w:r>
        <w:rPr>
          <w:rFonts w:ascii="Arial;sans-serif" w:hAnsi="Arial;sans-serif"/>
          <w:b w:val="false"/>
          <w:color w:val="231F20"/>
          <w:sz w:val="20"/>
        </w:rPr>
        <w:t>if</w:t>
      </w:r>
      <w:r>
        <w:rPr>
          <w:color w:val="231F20"/>
        </w:rPr>
        <w:t xml:space="preserve"> </w:t>
      </w:r>
      <w:r>
        <w:rPr>
          <w:rFonts w:ascii="Arial;sans-serif" w:hAnsi="Arial;sans-serif"/>
          <w:b w:val="false"/>
          <w:color w:val="231F20"/>
          <w:sz w:val="20"/>
        </w:rPr>
        <w:t>standalone</w:t>
      </w:r>
      <w:r>
        <w:rPr>
          <w:color w:val="231F20"/>
        </w:rPr>
        <w:t xml:space="preserve"> </w:t>
      </w:r>
      <w:r>
        <w:rPr>
          <w:rFonts w:ascii="Arial;sans-serif" w:hAnsi="Arial;sans-serif"/>
          <w:b w:val="false"/>
          <w:color w:val="231F20"/>
          <w:sz w:val="20"/>
        </w:rPr>
        <w:t>selling</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by reference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total</w:t>
      </w:r>
      <w:r>
        <w:rPr>
          <w:color w:val="231F20"/>
        </w:rPr>
        <w:t xml:space="preserve"> </w:t>
      </w:r>
      <w:r>
        <w:rPr>
          <w:rFonts w:ascii="Arial;sans-serif" w:hAnsi="Arial;sans-serif"/>
          <w:b w:val="false"/>
          <w:color w:val="231F20"/>
          <w:sz w:val="20"/>
        </w:rPr>
        <w:t>transaction</w:t>
      </w:r>
      <w:r>
        <w:rPr>
          <w:color w:val="231F20"/>
        </w:rPr>
        <w:t xml:space="preserve"> </w:t>
      </w:r>
      <w:r>
        <w:rPr>
          <w:rFonts w:ascii="Arial;sans-serif" w:hAnsi="Arial;sans-serif"/>
          <w:b w:val="false"/>
          <w:color w:val="231F20"/>
          <w:sz w:val="20"/>
        </w:rPr>
        <w:t>price</w:t>
      </w:r>
      <w:r>
        <w:rPr>
          <w:color w:val="231F20"/>
        </w:rPr>
        <w:t xml:space="preserve"> </w:t>
      </w:r>
      <w:r>
        <w:rPr>
          <w:rFonts w:ascii="Arial;sans-serif" w:hAnsi="Arial;sans-serif"/>
          <w:b w:val="false"/>
          <w:color w:val="231F20"/>
          <w:sz w:val="20"/>
        </w:rPr>
        <w:t>less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sum</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observable</w:t>
      </w:r>
      <w:r>
        <w:rPr>
          <w:color w:val="231F20"/>
        </w:rPr>
        <w:t xml:space="preserve"> </w:t>
      </w:r>
      <w:r>
        <w:rPr>
          <w:rFonts w:ascii="Arial;sans-serif" w:hAnsi="Arial;sans-serif"/>
          <w:b w:val="false"/>
          <w:color w:val="231F20"/>
          <w:sz w:val="20"/>
        </w:rPr>
        <w:t>standalone</w:t>
      </w:r>
      <w:r>
        <w:rPr>
          <w:color w:val="231F20"/>
        </w:rPr>
        <w:t xml:space="preserve"> </w:t>
      </w:r>
      <w:r>
        <w:rPr>
          <w:rFonts w:ascii="Arial;sans-serif" w:hAnsi="Arial;sans-serif"/>
          <w:b w:val="false"/>
          <w:color w:val="231F20"/>
          <w:sz w:val="20"/>
        </w:rPr>
        <w:t>selling</w:t>
      </w:r>
      <w:r>
        <w:rPr>
          <w:color w:val="231F20"/>
        </w:rPr>
        <w:t xml:space="preserve"> </w:t>
      </w:r>
      <w:r>
        <w:rPr>
          <w:rFonts w:ascii="Arial;sans-serif" w:hAnsi="Arial;sans-serif"/>
          <w:b w:val="false"/>
          <w:color w:val="231F20"/>
          <w:sz w:val="20"/>
        </w:rPr>
        <w:t>prices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other 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promised</w:t>
      </w:r>
      <w:r>
        <w:rPr>
          <w:color w:val="231F20"/>
        </w:rPr>
        <w:t xml:space="preserve"> </w:t>
      </w:r>
      <w:r>
        <w:rPr>
          <w:rFonts w:ascii="Arial;sans-serif" w:hAnsi="Arial;sans-serif"/>
          <w:b w:val="false"/>
          <w:color w:val="231F20"/>
          <w:sz w:val="20"/>
        </w:rPr>
        <w:t>in the</w:t>
      </w:r>
      <w:r>
        <w:rPr>
          <w:color w:val="231F20"/>
        </w:rPr>
        <w:t xml:space="preserve"> </w:t>
      </w:r>
      <w:r>
        <w:rPr>
          <w:rFonts w:ascii="Arial;sans-serif" w:hAnsi="Arial;sans-serif"/>
          <w:b w:val="false"/>
          <w:color w:val="231F20"/>
          <w:sz w:val="20"/>
        </w:rPr>
        <w:t>contract.</w:t>
      </w:r>
    </w:p>
    <w:p>
      <w:pPr>
        <w:pStyle w:val="TextBody"/>
        <w:bidi w:val="0"/>
        <w:spacing w:lineRule="auto" w:line="288" w:before="240" w:after="283"/>
        <w:ind w:left="0" w:right="0" w:firstLine="450"/>
        <w:jc w:val="left"/>
        <w:rPr/>
      </w:pPr>
      <w:r>
        <w:rPr>
          <w:rFonts w:ascii="Arial;sans-serif" w:hAnsi="Arial;sans-serif"/>
          <w:b w:val="false"/>
          <w:color w:val="231F20"/>
          <w:sz w:val="20"/>
        </w:rPr>
        <w:t>Biopharmaceutical</w:t>
      </w:r>
      <w:r>
        <w:rPr>
          <w:color w:val="231F20"/>
        </w:rPr>
        <w:t xml:space="preserve"> </w:t>
      </w:r>
      <w:r>
        <w:rPr>
          <w:rFonts w:ascii="Arial;sans-serif" w:hAnsi="Arial;sans-serif"/>
          <w:b w:val="false"/>
          <w:color w:val="231F20"/>
          <w:sz w:val="20"/>
        </w:rPr>
        <w:t>partners</w:t>
      </w:r>
      <w:r>
        <w:rPr>
          <w:color w:val="231F20"/>
        </w:rPr>
        <w:t xml:space="preserve"> </w:t>
      </w:r>
      <w:r>
        <w:rPr>
          <w:rFonts w:ascii="Arial;sans-serif" w:hAnsi="Arial;sans-serif"/>
          <w:b w:val="false"/>
          <w:color w:val="231F20"/>
          <w:sz w:val="20"/>
        </w:rPr>
        <w:t>engage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run</w:t>
      </w:r>
      <w:r>
        <w:rPr>
          <w:color w:val="231F20"/>
        </w:rPr>
        <w:t xml:space="preserve"> </w:t>
      </w:r>
      <w:r>
        <w:rPr>
          <w:rFonts w:ascii="Arial;sans-serif" w:hAnsi="Arial;sans-serif"/>
          <w:b w:val="false"/>
          <w:color w:val="231F20"/>
          <w:sz w:val="20"/>
        </w:rPr>
        <w:t>pilot</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sending</w:t>
      </w:r>
      <w:r>
        <w:rPr>
          <w:color w:val="231F20"/>
        </w:rPr>
        <w:t xml:space="preserve"> </w:t>
      </w:r>
      <w:r>
        <w:rPr>
          <w:rFonts w:ascii="Arial;sans-serif" w:hAnsi="Arial;sans-serif"/>
          <w:b w:val="false"/>
          <w:color w:val="231F20"/>
          <w:sz w:val="20"/>
        </w:rPr>
        <w:t>patient samples</w:t>
      </w:r>
      <w:r>
        <w:rPr>
          <w:color w:val="231F20"/>
        </w:rPr>
        <w:t xml:space="preserve"> </w:t>
      </w:r>
      <w:r>
        <w:rPr>
          <w:rFonts w:ascii="Arial;sans-serif" w:hAnsi="Arial;sans-serif"/>
          <w:b w:val="false"/>
          <w:color w:val="231F20"/>
          <w:sz w:val="20"/>
        </w:rPr>
        <w:t>and comparing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test</w:t>
      </w:r>
      <w:r>
        <w:rPr>
          <w:color w:val="231F20"/>
        </w:rPr>
        <w:t xml:space="preserve"> </w:t>
      </w:r>
      <w:r>
        <w:rPr>
          <w:rFonts w:ascii="Arial;sans-serif" w:hAnsi="Arial;sans-serif"/>
          <w:b w:val="false"/>
          <w:color w:val="231F20"/>
          <w:sz w:val="20"/>
        </w:rPr>
        <w:t>result</w:t>
      </w:r>
      <w:r>
        <w:rPr>
          <w:color w:val="231F20"/>
        </w:rPr>
        <w:t xml:space="preserve"> </w:t>
      </w:r>
      <w:r>
        <w:rPr>
          <w:rFonts w:ascii="Arial;sans-serif" w:hAnsi="Arial;sans-serif"/>
          <w:b w:val="false"/>
          <w:color w:val="231F20"/>
          <w:sz w:val="20"/>
        </w:rPr>
        <w:t>to their</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result</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evaluation</w:t>
      </w:r>
      <w:r>
        <w:rPr>
          <w:color w:val="231F20"/>
        </w:rPr>
        <w:t xml:space="preserve"> </w:t>
      </w:r>
      <w:r>
        <w:rPr>
          <w:rFonts w:ascii="Arial;sans-serif" w:hAnsi="Arial;sans-serif"/>
          <w:b w:val="false"/>
          <w:color w:val="231F20"/>
          <w:sz w:val="20"/>
        </w:rPr>
        <w:t>of performance</w:t>
      </w:r>
      <w:r>
        <w:rPr>
          <w:color w:val="231F20"/>
        </w:rPr>
        <w:t xml:space="preserve"> </w:t>
      </w:r>
      <w:r>
        <w:rPr>
          <w:rFonts w:ascii="Arial;sans-serif" w:hAnsi="Arial;sans-serif"/>
          <w:b w:val="false"/>
          <w:color w:val="231F20"/>
          <w:sz w:val="20"/>
        </w:rPr>
        <w:t>and application.</w:t>
      </w:r>
      <w:r>
        <w:rPr>
          <w:color w:val="231F20"/>
        </w:rPr>
        <w:t xml:space="preserve"> </w:t>
      </w:r>
      <w:r>
        <w:rPr>
          <w:rFonts w:ascii="Arial;sans-serif" w:hAnsi="Arial;sans-serif"/>
          <w:b w:val="false"/>
          <w:color w:val="231F20"/>
          <w:sz w:val="20"/>
        </w:rPr>
        <w:t>The Company recognizes</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as performance</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completed.</w:t>
      </w:r>
    </w:p>
    <w:p>
      <w:pPr>
        <w:pStyle w:val="TextBody"/>
        <w:bidi w:val="0"/>
        <w:spacing w:lineRule="auto" w:line="288" w:before="240" w:after="283"/>
        <w:ind w:left="0" w:right="0" w:firstLine="450"/>
        <w:jc w:val="left"/>
        <w:rPr/>
      </w:pPr>
      <w:r>
        <w:rPr>
          <w:rFonts w:ascii="Arial;sans-serif" w:hAnsi="Arial;sans-serif"/>
          <w:b w:val="false"/>
          <w:color w:val="231F20"/>
          <w:sz w:val="20"/>
        </w:rPr>
        <w:t>Following</w:t>
      </w:r>
      <w:r>
        <w:rPr>
          <w:color w:val="231F20"/>
        </w:rPr>
        <w:t xml:space="preserve"> </w:t>
      </w:r>
      <w:r>
        <w:rPr>
          <w:rFonts w:ascii="Arial;sans-serif" w:hAnsi="Arial;sans-serif"/>
          <w:b w:val="false"/>
          <w:color w:val="231F20"/>
          <w:sz w:val="20"/>
        </w:rPr>
        <w:t>favorable</w:t>
      </w:r>
      <w:r>
        <w:rPr>
          <w:color w:val="231F20"/>
        </w:rPr>
        <w:t xml:space="preserve"> </w:t>
      </w:r>
      <w:r>
        <w:rPr>
          <w:rFonts w:ascii="Arial;sans-serif" w:hAnsi="Arial;sans-serif"/>
          <w:b w:val="false"/>
          <w:color w:val="231F20"/>
          <w:sz w:val="20"/>
        </w:rPr>
        <w:t>results</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pilot</w:t>
      </w:r>
      <w:r>
        <w:rPr>
          <w:color w:val="231F20"/>
        </w:rPr>
        <w:t xml:space="preserve"> </w:t>
      </w:r>
      <w:r>
        <w:rPr>
          <w:rFonts w:ascii="Arial;sans-serif" w:hAnsi="Arial;sans-serif"/>
          <w:b w:val="false"/>
          <w:color w:val="231F20"/>
          <w:sz w:val="20"/>
        </w:rPr>
        <w:t>and research</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biopharmaceutical</w:t>
      </w:r>
      <w:r>
        <w:rPr>
          <w:color w:val="231F20"/>
        </w:rPr>
        <w:t xml:space="preserve"> </w:t>
      </w:r>
      <w:r>
        <w:rPr>
          <w:rFonts w:ascii="Arial;sans-serif" w:hAnsi="Arial;sans-serif"/>
          <w:b w:val="false"/>
          <w:color w:val="231F20"/>
          <w:sz w:val="20"/>
        </w:rPr>
        <w:t>partners</w:t>
      </w:r>
      <w:r>
        <w:rPr>
          <w:color w:val="231F20"/>
        </w:rPr>
        <w:t xml:space="preserve"> </w:t>
      </w:r>
      <w:r>
        <w:rPr>
          <w:rFonts w:ascii="Arial;sans-serif" w:hAnsi="Arial;sans-serif"/>
          <w:b w:val="false"/>
          <w:color w:val="231F20"/>
          <w:sz w:val="20"/>
        </w:rPr>
        <w:t>and the</w:t>
      </w:r>
      <w:r>
        <w:rPr>
          <w:color w:val="231F20"/>
        </w:rPr>
        <w:t xml:space="preserve"> </w:t>
      </w:r>
      <w:r>
        <w:rPr>
          <w:rFonts w:ascii="Arial;sans-serif" w:hAnsi="Arial;sans-serif"/>
          <w:b w:val="false"/>
          <w:color w:val="231F20"/>
          <w:sz w:val="20"/>
        </w:rPr>
        <w:t>Company may</w:t>
      </w:r>
      <w:r>
        <w:rPr>
          <w:color w:val="231F20"/>
        </w:rPr>
        <w:t xml:space="preserve"> </w:t>
      </w:r>
      <w:r>
        <w:rPr>
          <w:rFonts w:ascii="Arial;sans-serif" w:hAnsi="Arial;sans-serif"/>
          <w:b w:val="false"/>
          <w:color w:val="231F20"/>
          <w:sz w:val="20"/>
        </w:rPr>
        <w:t>enter</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service</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 clinical</w:t>
      </w:r>
      <w:r>
        <w:rPr>
          <w:color w:val="231F20"/>
        </w:rPr>
        <w:t xml:space="preserve"> </w:t>
      </w:r>
      <w:r>
        <w:rPr>
          <w:rFonts w:ascii="Arial;sans-serif" w:hAnsi="Arial;sans-serif"/>
          <w:b w:val="false"/>
          <w:color w:val="231F20"/>
          <w:sz w:val="20"/>
        </w:rPr>
        <w:t>trial</w:t>
      </w:r>
      <w:r>
        <w:rPr>
          <w:color w:val="231F20"/>
        </w:rPr>
        <w:t xml:space="preserve"> </w:t>
      </w:r>
      <w:r>
        <w:rPr>
          <w:rFonts w:ascii="Arial;sans-serif" w:hAnsi="Arial;sans-serif"/>
          <w:b w:val="false"/>
          <w:color w:val="231F20"/>
          <w:sz w:val="20"/>
        </w:rPr>
        <w:t>and companion</w:t>
      </w:r>
      <w:r>
        <w:rPr>
          <w:color w:val="231F20"/>
        </w:rPr>
        <w:t xml:space="preserve"> </w:t>
      </w:r>
      <w:r>
        <w:rPr>
          <w:rFonts w:ascii="Arial;sans-serif" w:hAnsi="Arial;sans-serif"/>
          <w:b w:val="false"/>
          <w:color w:val="231F20"/>
          <w:sz w:val="20"/>
        </w:rPr>
        <w:t>diagnostic</w:t>
      </w:r>
      <w:r>
        <w:rPr>
          <w:color w:val="231F20"/>
        </w:rPr>
        <w:t xml:space="preserve"> </w:t>
      </w:r>
      <w:r>
        <w:rPr>
          <w:rFonts w:ascii="Arial;sans-serif" w:hAnsi="Arial;sans-serif"/>
          <w:b w:val="false"/>
          <w:color w:val="231F20"/>
          <w:sz w:val="20"/>
        </w:rPr>
        <w:t>device development</w:t>
      </w:r>
      <w:r>
        <w:rPr>
          <w:color w:val="231F20"/>
        </w:rPr>
        <w:t xml:space="preserve"> </w:t>
      </w:r>
      <w:r>
        <w:rPr>
          <w:rFonts w:ascii="Arial;sans-serif" w:hAnsi="Arial;sans-serif"/>
          <w:b w:val="false"/>
          <w:color w:val="231F20"/>
          <w:sz w:val="20"/>
        </w:rPr>
        <w:t>and regulatory</w:t>
      </w:r>
      <w:r>
        <w:rPr>
          <w:color w:val="231F20"/>
        </w:rPr>
        <w:t xml:space="preserve"> </w:t>
      </w:r>
      <w:r>
        <w:rPr>
          <w:rFonts w:ascii="Arial;sans-serif" w:hAnsi="Arial;sans-serif"/>
          <w:b w:val="false"/>
          <w:color w:val="231F20"/>
          <w:sz w:val="20"/>
        </w:rPr>
        <w:t>submissions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developed</w:t>
      </w:r>
      <w:r>
        <w:rPr>
          <w:color w:val="231F20"/>
        </w:rPr>
        <w:t xml:space="preserve"> </w:t>
      </w:r>
      <w:r>
        <w:rPr>
          <w:rFonts w:ascii="Arial;sans-serif" w:hAnsi="Arial;sans-serif"/>
          <w:b w:val="false"/>
          <w:color w:val="231F20"/>
          <w:sz w:val="20"/>
        </w:rPr>
        <w:t>product(s).</w:t>
      </w:r>
      <w:r>
        <w:rPr>
          <w:color w:val="231F20"/>
        </w:rPr>
        <w:t xml:space="preserve"> </w:t>
      </w:r>
      <w:r>
        <w:rPr>
          <w:rFonts w:ascii="Arial;sans-serif" w:hAnsi="Arial;sans-serif"/>
          <w:b w:val="false"/>
          <w:color w:val="231F20"/>
          <w:sz w:val="20"/>
        </w:rPr>
        <w:t>These agreements</w:t>
      </w:r>
      <w:r>
        <w:rPr>
          <w:color w:val="231F20"/>
        </w:rPr>
        <w:t xml:space="preserve"> </w:t>
      </w:r>
      <w:r>
        <w:rPr>
          <w:rFonts w:ascii="Arial;sans-serif" w:hAnsi="Arial;sans-serif"/>
          <w:b w:val="false"/>
          <w:color w:val="231F20"/>
          <w:sz w:val="20"/>
        </w:rPr>
        <w:t>typically</w:t>
      </w:r>
      <w:r>
        <w:rPr>
          <w:color w:val="231F20"/>
        </w:rPr>
        <w:t xml:space="preserve"> </w:t>
      </w:r>
      <w:r>
        <w:rPr>
          <w:rFonts w:ascii="Arial;sans-serif" w:hAnsi="Arial;sans-serif"/>
          <w:b w:val="false"/>
          <w:color w:val="231F20"/>
          <w:sz w:val="20"/>
        </w:rPr>
        <w:t>have multiple commitments</w:t>
      </w:r>
      <w:r>
        <w:rPr>
          <w:color w:val="231F20"/>
        </w:rPr>
        <w:t xml:space="preserve"> </w:t>
      </w:r>
      <w:r>
        <w:rPr>
          <w:rFonts w:ascii="Arial;sans-serif" w:hAnsi="Arial;sans-serif"/>
          <w:b w:val="false"/>
          <w:color w:val="231F20"/>
          <w:sz w:val="20"/>
        </w:rPr>
        <w:t>of services</w:t>
      </w:r>
      <w:r>
        <w:rPr>
          <w:color w:val="231F20"/>
        </w:rPr>
        <w:t xml:space="preserve"> </w:t>
      </w:r>
      <w:r>
        <w:rPr>
          <w:rFonts w:ascii="Arial;sans-serif" w:hAnsi="Arial;sans-serif"/>
          <w:b w:val="false"/>
          <w:color w:val="231F20"/>
          <w:sz w:val="20"/>
        </w:rPr>
        <w:t>and therefore</w:t>
      </w:r>
      <w:r>
        <w:rPr>
          <w:color w:val="231F20"/>
        </w:rPr>
        <w:t xml:space="preserve"> </w:t>
      </w:r>
      <w:r>
        <w:rPr>
          <w:rFonts w:ascii="Arial;sans-serif" w:hAnsi="Arial;sans-serif"/>
          <w:b w:val="false"/>
          <w:color w:val="231F20"/>
          <w:sz w:val="20"/>
        </w:rPr>
        <w:t>have longer performance</w:t>
      </w:r>
      <w:r>
        <w:rPr>
          <w:color w:val="231F20"/>
        </w:rPr>
        <w:t xml:space="preserve"> </w:t>
      </w:r>
      <w:r>
        <w:rPr>
          <w:rFonts w:ascii="Arial;sans-serif" w:hAnsi="Arial;sans-serif"/>
          <w:b w:val="false"/>
          <w:color w:val="231F20"/>
          <w:sz w:val="20"/>
        </w:rPr>
        <w:t>periods. The Company uses an input method based</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measure</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progress</w:t>
      </w:r>
      <w:r>
        <w:rPr>
          <w:color w:val="231F20"/>
        </w:rPr>
        <w:t xml:space="preserve"> </w:t>
      </w:r>
      <w:r>
        <w:rPr>
          <w:rFonts w:ascii="Arial;sans-serif" w:hAnsi="Arial;sans-serif"/>
          <w:b w:val="false"/>
          <w:color w:val="231F20"/>
          <w:sz w:val="20"/>
        </w:rPr>
        <w:t>toward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completion</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satisfaction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performance obligations.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assesses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changes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total</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well</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incremental fees</w:t>
      </w:r>
      <w:r>
        <w:rPr>
          <w:color w:val="231F20"/>
        </w:rPr>
        <w:t xml:space="preserve"> </w:t>
      </w:r>
      <w:r>
        <w:rPr>
          <w:rFonts w:ascii="Arial;sans-serif" w:hAnsi="Arial;sans-serif"/>
          <w:b w:val="false"/>
          <w:color w:val="231F20"/>
          <w:sz w:val="20"/>
        </w:rPr>
        <w:t>negotiated</w:t>
      </w:r>
      <w:r>
        <w:rPr>
          <w:color w:val="231F20"/>
        </w:rPr>
        <w:t xml:space="preserve"> </w:t>
      </w:r>
      <w:r>
        <w:rPr>
          <w:rFonts w:ascii="Arial;sans-serif" w:hAnsi="Arial;sans-serif"/>
          <w:b w:val="false"/>
          <w:color w:val="231F20"/>
          <w:sz w:val="20"/>
        </w:rPr>
        <w:t>resulting</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changes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scope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original</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determining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recognized at</w:t>
      </w:r>
      <w:r>
        <w:rPr>
          <w:color w:val="231F20"/>
        </w:rPr>
        <w:t xml:space="preserve"> </w:t>
      </w:r>
      <w:r>
        <w:rPr>
          <w:rFonts w:ascii="Arial;sans-serif" w:hAnsi="Arial;sans-serif"/>
          <w:b w:val="false"/>
          <w:color w:val="231F20"/>
          <w:sz w:val="20"/>
        </w:rPr>
        <w:t>each</w:t>
      </w:r>
      <w:r>
        <w:rPr>
          <w:color w:val="231F20"/>
        </w:rPr>
        <w:t xml:space="preserve"> </w:t>
      </w:r>
      <w:r>
        <w:rPr>
          <w:rFonts w:ascii="Arial;sans-serif" w:hAnsi="Arial;sans-serif"/>
          <w:b w:val="false"/>
          <w:color w:val="231F20"/>
          <w:sz w:val="20"/>
        </w:rPr>
        <w:t>reporting</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Invoices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due</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60</w:t>
      </w:r>
      <w:r>
        <w:rPr>
          <w:color w:val="231F20"/>
        </w:rPr>
        <w:t xml:space="preserve"> </w:t>
      </w:r>
      <w:r>
        <w:rPr>
          <w:rFonts w:ascii="Arial;sans-serif" w:hAnsi="Arial;sans-serif"/>
          <w:b w:val="false"/>
          <w:color w:val="231F20"/>
          <w:sz w:val="20"/>
        </w:rPr>
        <w:t>days.</w:t>
      </w:r>
    </w:p>
    <w:p>
      <w:pPr>
        <w:pStyle w:val="TextBody"/>
        <w:bidi w:val="0"/>
        <w:spacing w:lineRule="auto" w:line="288" w:before="240" w:after="283"/>
        <w:jc w:val="left"/>
        <w:rPr/>
      </w:pPr>
      <w:r>
        <w:rPr>
          <w:rFonts w:ascii="Arial;sans-serif" w:hAnsi="Arial;sans-serif"/>
          <w:b/>
          <w:i/>
          <w:color w:val="231F20"/>
          <w:sz w:val="20"/>
        </w:rPr>
        <w:t>Deferred</w:t>
      </w:r>
      <w:r>
        <w:rPr>
          <w:color w:val="231F20"/>
        </w:rPr>
        <w:t xml:space="preserve"> </w:t>
      </w:r>
      <w:r>
        <w:rPr>
          <w:rFonts w:ascii="Arial;sans-serif" w:hAnsi="Arial;sans-serif"/>
          <w:b/>
          <w:i/>
          <w:color w:val="231F20"/>
          <w:sz w:val="20"/>
        </w:rPr>
        <w:t>Revenue</w:t>
      </w:r>
    </w:p>
    <w:p>
      <w:pPr>
        <w:pStyle w:val="TextBody"/>
        <w:bidi w:val="0"/>
        <w:spacing w:lineRule="auto" w:line="288" w:before="240" w:after="283"/>
        <w:ind w:left="0" w:right="0" w:firstLine="450"/>
        <w:jc w:val="left"/>
        <w:rPr/>
      </w:pPr>
      <w:r>
        <w:rPr>
          <w:rFonts w:ascii="Arial;sans-serif" w:hAnsi="Arial;sans-serif"/>
          <w:b w:val="false"/>
          <w:color w:val="231F20"/>
          <w:sz w:val="20"/>
        </w:rPr>
        <w:t>Deferred</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liability,</w:t>
      </w:r>
      <w:r>
        <w:rPr>
          <w:color w:val="231F20"/>
        </w:rPr>
        <w:t xml:space="preserve"> </w:t>
      </w:r>
      <w:r>
        <w:rPr>
          <w:rFonts w:ascii="Arial;sans-serif" w:hAnsi="Arial;sans-serif"/>
          <w:b w:val="false"/>
          <w:color w:val="231F20"/>
          <w:sz w:val="20"/>
        </w:rPr>
        <w:t>consists</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received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advance</w:t>
      </w:r>
      <w:r>
        <w:rPr>
          <w:color w:val="231F20"/>
        </w:rPr>
        <w:t xml:space="preserve"> </w:t>
      </w:r>
      <w:r>
        <w:rPr>
          <w:rFonts w:ascii="Arial;sans-serif" w:hAnsi="Arial;sans-serif"/>
          <w:b w:val="false"/>
          <w:color w:val="231F20"/>
          <w:sz w:val="20"/>
        </w:rPr>
        <w:t>of revenue</w:t>
      </w:r>
      <w:r>
        <w:rPr>
          <w:color w:val="231F20"/>
        </w:rPr>
        <w:t xml:space="preserve"> </w:t>
      </w:r>
      <w:r>
        <w:rPr>
          <w:rFonts w:ascii="Arial;sans-serif" w:hAnsi="Arial;sans-serif"/>
          <w:b w:val="false"/>
          <w:color w:val="231F20"/>
          <w:sz w:val="20"/>
        </w:rPr>
        <w:t>recognition</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contracts</w:t>
      </w:r>
      <w:r>
        <w:rPr>
          <w:color w:val="231F20"/>
        </w:rPr>
        <w:t xml:space="preserve"> </w:t>
      </w:r>
      <w:r>
        <w:rPr>
          <w:rFonts w:ascii="Arial;sans-serif" w:hAnsi="Arial;sans-serif"/>
          <w:b w:val="false"/>
          <w:color w:val="231F20"/>
          <w:sz w:val="20"/>
        </w:rPr>
        <w:t>with customers.</w:t>
      </w:r>
      <w:r>
        <w:rPr>
          <w:color w:val="231F20"/>
        </w:rPr>
        <w:t xml:space="preserve"> </w:t>
      </w:r>
      <w:r>
        <w:rPr>
          <w:rFonts w:ascii="Arial;sans-serif" w:hAnsi="Arial;sans-serif"/>
          <w:b w:val="false"/>
          <w:color w:val="231F20"/>
          <w:sz w:val="20"/>
        </w:rPr>
        <w:t>For example,</w:t>
      </w:r>
      <w:r>
        <w:rPr>
          <w:color w:val="231F20"/>
        </w:rPr>
        <w:t xml:space="preserve"> </w:t>
      </w:r>
      <w:r>
        <w:rPr>
          <w:rFonts w:ascii="Arial;sans-serif" w:hAnsi="Arial;sans-serif"/>
          <w:b w:val="false"/>
          <w:color w:val="231F20"/>
          <w:sz w:val="20"/>
        </w:rPr>
        <w:t>prepayments</w:t>
      </w:r>
      <w:r>
        <w:rPr>
          <w:color w:val="231F20"/>
        </w:rPr>
        <w:t xml:space="preserve"> </w:t>
      </w:r>
      <w:r>
        <w:rPr>
          <w:rFonts w:ascii="Arial;sans-serif" w:hAnsi="Arial;sans-serif"/>
          <w:b w:val="false"/>
          <w:color w:val="231F20"/>
          <w:sz w:val="20"/>
        </w:rPr>
        <w:t>received</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patients</w:t>
      </w:r>
      <w:r>
        <w:rPr>
          <w:color w:val="231F20"/>
        </w:rPr>
        <w:t xml:space="preserve"> </w:t>
      </w:r>
      <w:r>
        <w:rPr>
          <w:rFonts w:ascii="Arial;sans-serif" w:hAnsi="Arial;sans-serif"/>
          <w:b w:val="false"/>
          <w:color w:val="231F20"/>
          <w:sz w:val="20"/>
        </w:rPr>
        <w:t>for screening</w:t>
      </w:r>
      <w:r>
        <w:rPr>
          <w:color w:val="231F20"/>
        </w:rPr>
        <w:t xml:space="preserve"> </w:t>
      </w:r>
      <w:r>
        <w:rPr>
          <w:rFonts w:ascii="Arial;sans-serif" w:hAnsi="Arial;sans-serif"/>
          <w:b w:val="false"/>
          <w:color w:val="231F20"/>
          <w:sz w:val="20"/>
        </w:rPr>
        <w:t>testing</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and other</w:t>
      </w:r>
      <w:r>
        <w:rPr>
          <w:color w:val="231F20"/>
        </w:rPr>
        <w:t xml:space="preserve"> </w:t>
      </w:r>
      <w:r>
        <w:rPr>
          <w:rFonts w:ascii="Arial;sans-serif" w:hAnsi="Arial;sans-serif"/>
          <w:b w:val="false"/>
          <w:color w:val="231F20"/>
          <w:sz w:val="20"/>
        </w:rPr>
        <w:t>contracts</w:t>
      </w:r>
      <w:r>
        <w:rPr>
          <w:color w:val="231F20"/>
        </w:rPr>
        <w:t xml:space="preserve"> </w:t>
      </w:r>
      <w:r>
        <w:rPr>
          <w:rFonts w:ascii="Arial;sans-serif" w:hAnsi="Arial;sans-serif"/>
          <w:b w:val="false"/>
          <w:color w:val="231F20"/>
          <w:sz w:val="20"/>
        </w:rPr>
        <w:t>with biopharmaceutical</w:t>
      </w:r>
      <w:r>
        <w:rPr>
          <w:color w:val="231F20"/>
        </w:rPr>
        <w:t xml:space="preserve"> </w:t>
      </w:r>
      <w:r>
        <w:rPr>
          <w:rFonts w:ascii="Arial;sans-serif" w:hAnsi="Arial;sans-serif"/>
          <w:b w:val="false"/>
          <w:color w:val="231F20"/>
          <w:sz w:val="20"/>
        </w:rPr>
        <w:t>customers</w:t>
      </w:r>
      <w:r>
        <w:rPr>
          <w:color w:val="231F20"/>
        </w:rPr>
        <w:t xml:space="preserve"> </w:t>
      </w:r>
      <w:r>
        <w:rPr>
          <w:rFonts w:ascii="Arial;sans-serif" w:hAnsi="Arial;sans-serif"/>
          <w:b w:val="false"/>
          <w:color w:val="231F20"/>
          <w:sz w:val="20"/>
        </w:rPr>
        <w:t>often contain</w:t>
      </w:r>
      <w:r>
        <w:rPr>
          <w:color w:val="231F20"/>
        </w:rPr>
        <w:t xml:space="preserve"> </w:t>
      </w:r>
      <w:r>
        <w:rPr>
          <w:rFonts w:ascii="Arial;sans-serif" w:hAnsi="Arial;sans-serif"/>
          <w:b w:val="false"/>
          <w:color w:val="231F20"/>
          <w:sz w:val="20"/>
        </w:rPr>
        <w:t>upfront</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results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recording</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deferred</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extent</w:t>
      </w:r>
      <w:r>
        <w:rPr>
          <w:color w:val="231F20"/>
        </w:rPr>
        <w:t xml:space="preserve"> </w:t>
      </w:r>
      <w:r>
        <w:rPr>
          <w:rFonts w:ascii="Arial;sans-serif" w:hAnsi="Arial;sans-serif"/>
          <w:b w:val="false"/>
          <w:color w:val="231F20"/>
          <w:sz w:val="20"/>
        </w:rPr>
        <w:t>cash</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received</w:t>
      </w:r>
      <w:r>
        <w:rPr>
          <w:color w:val="231F20"/>
        </w:rPr>
        <w:t xml:space="preserve"> </w:t>
      </w:r>
      <w:r>
        <w:rPr>
          <w:rFonts w:ascii="Arial;sans-serif" w:hAnsi="Arial;sans-serif"/>
          <w:b w:val="false"/>
          <w:color w:val="231F20"/>
          <w:sz w:val="20"/>
        </w:rPr>
        <w:t>prior</w:t>
      </w:r>
      <w:r>
        <w:rPr>
          <w:color w:val="231F20"/>
        </w:rPr>
        <w:t xml:space="preserve"> </w:t>
      </w:r>
      <w:r>
        <w:rPr>
          <w:rFonts w:ascii="Arial;sans-serif" w:hAnsi="Arial;sans-serif"/>
          <w:b w:val="false"/>
          <w:color w:val="231F20"/>
          <w:sz w:val="20"/>
        </w:rPr>
        <w:t>to 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of the</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relieved</w:t>
      </w:r>
      <w:r>
        <w:rPr>
          <w:color w:val="231F20"/>
        </w:rPr>
        <w:t xml:space="preserve"> </w:t>
      </w:r>
      <w:r>
        <w:rPr>
          <w:rFonts w:ascii="Arial;sans-serif" w:hAnsi="Arial;sans-serif"/>
          <w:b w:val="false"/>
          <w:color w:val="231F20"/>
          <w:sz w:val="20"/>
        </w:rPr>
        <w:t>as the</w:t>
      </w:r>
      <w:r>
        <w:rPr>
          <w:color w:val="231F20"/>
        </w:rPr>
        <w:t xml:space="preserve"> </w:t>
      </w:r>
      <w:r>
        <w:rPr>
          <w:rFonts w:ascii="Arial;sans-serif" w:hAnsi="Arial;sans-serif"/>
          <w:b w:val="false"/>
          <w:color w:val="231F20"/>
          <w:sz w:val="20"/>
        </w:rPr>
        <w:t>Company performs</w:t>
      </w:r>
      <w:r>
        <w:rPr>
          <w:color w:val="231F20"/>
        </w:rPr>
        <w:t xml:space="preserve"> </w:t>
      </w:r>
      <w:r>
        <w:rPr>
          <w:rFonts w:ascii="Arial;sans-serif" w:hAnsi="Arial;sans-serif"/>
          <w:b w:val="false"/>
          <w:color w:val="231F20"/>
          <w:sz w:val="20"/>
        </w:rPr>
        <w:t>its</w:t>
      </w:r>
      <w:r>
        <w:rPr>
          <w:color w:val="231F20"/>
        </w:rPr>
        <w:t xml:space="preserve"> </w:t>
      </w:r>
      <w:r>
        <w:rPr>
          <w:rFonts w:ascii="Arial;sans-serif" w:hAnsi="Arial;sans-serif"/>
          <w:b w:val="false"/>
          <w:color w:val="231F20"/>
          <w:sz w:val="20"/>
        </w:rPr>
        <w:t>obligations</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contract</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Deferred</w:t>
      </w:r>
      <w:r>
        <w:rPr>
          <w:color w:val="231F20"/>
        </w:rPr>
        <w:t xml:space="preserve"> </w:t>
      </w:r>
      <w:r>
        <w:rPr>
          <w:rFonts w:ascii="Arial;sans-serif" w:hAnsi="Arial;sans-serif"/>
          <w:b w:val="false"/>
          <w:color w:val="231F20"/>
          <w:sz w:val="20"/>
        </w:rPr>
        <w:t>revenue was $1.9 million and $1.6 million as of December 31, 2025 and December 31, 2024, all of which is considered short-term and was recorded within other current liabilities on the accompanying consolidated balance sheets.</w:t>
      </w:r>
    </w:p>
    <w:p>
      <w:pPr>
        <w:pStyle w:val="TextBody"/>
        <w:bidi w:val="0"/>
        <w:spacing w:lineRule="auto" w:line="288" w:before="240" w:after="283"/>
        <w:jc w:val="left"/>
        <w:rPr/>
      </w:pPr>
      <w:r>
        <w:rPr>
          <w:rFonts w:ascii="Arial;sans-serif" w:hAnsi="Arial;sans-serif"/>
          <w:b/>
          <w:i/>
          <w:color w:val="231F20"/>
          <w:sz w:val="20"/>
        </w:rPr>
        <w:t>Cost of Screening</w:t>
      </w:r>
      <w:r>
        <w:rPr>
          <w:color w:val="231F20"/>
        </w:rPr>
        <w:t xml:space="preserve"> </w:t>
      </w:r>
      <w:r>
        <w:rPr>
          <w:rFonts w:ascii="Arial;sans-serif" w:hAnsi="Arial;sans-serif"/>
          <w:b/>
          <w:i/>
          <w:color w:val="231F20"/>
          <w:sz w:val="20"/>
        </w:rPr>
        <w:t>Revenue</w:t>
      </w:r>
    </w:p>
    <w:p>
      <w:pPr>
        <w:pStyle w:val="TextBody"/>
        <w:bidi w:val="0"/>
        <w:spacing w:lineRule="auto" w:line="288" w:before="240" w:after="283"/>
        <w:ind w:left="0" w:right="0" w:firstLine="450"/>
        <w:jc w:val="left"/>
        <w:rPr/>
      </w:pP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screening</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consists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cost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000000"/>
          <w:sz w:val="20"/>
        </w:rPr>
        <w:t>materials, labor including salaries and wages, bonus, benefits and stock-based compensation</w:t>
      </w:r>
      <w:r>
        <w:rPr>
          <w:rFonts w:ascii="Arial;sans-serif" w:hAnsi="Arial;sans-serif"/>
          <w:b w:val="false"/>
          <w:color w:val="231F20"/>
          <w:sz w:val="20"/>
        </w:rPr>
        <w:t>,</w:t>
      </w:r>
      <w:r>
        <w:rPr>
          <w:color w:val="231F20"/>
        </w:rPr>
        <w:t xml:space="preserve"> </w:t>
      </w:r>
      <w:r>
        <w:rPr>
          <w:rFonts w:ascii="Arial;sans-serif" w:hAnsi="Arial;sans-serif"/>
          <w:b w:val="false"/>
          <w:color w:val="231F20"/>
          <w:sz w:val="20"/>
        </w:rPr>
        <w:t>amortization</w:t>
      </w:r>
      <w:r>
        <w:rPr>
          <w:color w:val="231F20"/>
        </w:rPr>
        <w:t xml:space="preserve"> </w:t>
      </w:r>
      <w:r>
        <w:rPr>
          <w:rFonts w:ascii="Arial;sans-serif" w:hAnsi="Arial;sans-serif"/>
          <w:b w:val="false"/>
          <w:color w:val="231F20"/>
          <w:sz w:val="20"/>
        </w:rPr>
        <w:t>of GRAIL</w:t>
      </w:r>
      <w:r>
        <w:rPr>
          <w:color w:val="231F20"/>
        </w:rPr>
        <w:t xml:space="preserve"> </w:t>
      </w:r>
      <w:r>
        <w:rPr>
          <w:rFonts w:ascii="Arial;sans-serif" w:hAnsi="Arial;sans-serif"/>
          <w:b w:val="false"/>
          <w:color w:val="231F20"/>
          <w:sz w:val="20"/>
        </w:rPr>
        <w:t>intangible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000000"/>
          <w:sz w:val="20"/>
        </w:rPr>
        <w:t xml:space="preserve">blood collection kits and shipping, phlebotomy, royalties, electronic medical records, equipment depreciation, and allocations of overhead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83845"/>
                <wp:effectExtent l="0" t="0" r="0" b="0"/>
                <wp:wrapNone/>
                <wp:docPr id="178" name="Frame17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000000"/>
          <w:sz w:val="20"/>
        </w:rPr>
        <w:t>expenses such as facilities and information technology costs</w:t>
      </w:r>
      <w:r>
        <w:rPr>
          <w:rFonts w:ascii="Arial;sans-serif" w:hAnsi="Arial;sans-serif"/>
          <w:b w:val="false"/>
          <w:color w:val="231F20"/>
          <w:sz w:val="20"/>
        </w:rPr>
        <w:t>.</w:t>
      </w:r>
      <w:r>
        <w:rPr>
          <w:color w:val="231F20"/>
        </w:rPr>
        <w:t xml:space="preserve"> </w:t>
      </w:r>
      <w:r>
        <w:rPr>
          <w:rFonts w:ascii="Arial;sans-serif" w:hAnsi="Arial;sans-serif"/>
          <w:b w:val="false"/>
          <w:color w:val="000000"/>
          <w:sz w:val="20"/>
        </w:rPr>
        <w:t>Per the terms of the Separation and Distribution Agreement with Illumina, the royalty arrangement with Illumina is suspended until the earlier of December 24, 2026, or any change of control of the Company, at which time a high-single digit royalty will be payable on screening revenue</w:t>
      </w:r>
      <w:r>
        <w:rPr>
          <w:rFonts w:ascii="Arial;sans-serif" w:hAnsi="Arial;sans-serif"/>
          <w:b w:val="false"/>
          <w:color w:val="231F20"/>
          <w:sz w:val="20"/>
        </w:rPr>
        <w:t xml:space="preserve">. </w:t>
      </w:r>
    </w:p>
    <w:p>
      <w:pPr>
        <w:pStyle w:val="TextBody"/>
        <w:bidi w:val="0"/>
        <w:spacing w:lineRule="auto" w:line="288" w:before="240" w:after="283"/>
        <w:ind w:left="0" w:right="0" w:firstLine="450"/>
        <w:jc w:val="left"/>
        <w:rPr/>
      </w:pPr>
      <w:r>
        <w:rPr>
          <w:rFonts w:ascii="Arial;sans-serif" w:hAnsi="Arial;sans-serif"/>
          <w:b/>
          <w:i/>
          <w:color w:val="231F20"/>
          <w:sz w:val="20"/>
        </w:rPr>
        <w:t>Cost of Development Services</w:t>
      </w:r>
      <w:r>
        <w:rPr>
          <w:color w:val="231F20"/>
        </w:rPr>
        <w:t xml:space="preserve"> </w:t>
      </w:r>
      <w:r>
        <w:rPr>
          <w:rFonts w:ascii="Arial;sans-serif" w:hAnsi="Arial;sans-serif"/>
          <w:b/>
          <w:i/>
          <w:color w:val="231F20"/>
          <w:sz w:val="20"/>
        </w:rPr>
        <w:t>Revenue</w:t>
      </w:r>
    </w:p>
    <w:p>
      <w:pPr>
        <w:pStyle w:val="TextBody"/>
        <w:bidi w:val="0"/>
        <w:spacing w:lineRule="auto" w:line="288" w:before="240" w:after="283"/>
        <w:ind w:left="0" w:right="0" w:firstLine="450"/>
        <w:jc w:val="left"/>
        <w:rPr/>
      </w:pPr>
      <w:r>
        <w:rPr>
          <w:rFonts w:ascii="Arial;sans-serif" w:hAnsi="Arial;sans-serif"/>
          <w:b w:val="false"/>
          <w:color w:val="231F20"/>
          <w:sz w:val="20"/>
        </w:rPr>
        <w:t>Cost of development</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consists</w:t>
      </w:r>
      <w:r>
        <w:rPr>
          <w:color w:val="231F20"/>
        </w:rPr>
        <w:t xml:space="preserve"> </w:t>
      </w:r>
      <w:r>
        <w:rPr>
          <w:rFonts w:ascii="Arial;sans-serif" w:hAnsi="Arial;sans-serif"/>
          <w:b w:val="false"/>
          <w:color w:val="231F20"/>
          <w:sz w:val="20"/>
        </w:rPr>
        <w:t xml:space="preserve">of </w:t>
      </w:r>
      <w:r>
        <w:rPr>
          <w:rFonts w:ascii="Arial;sans-serif" w:hAnsi="Arial;sans-serif"/>
          <w:b w:val="false"/>
          <w:color w:val="000000"/>
          <w:sz w:val="20"/>
        </w:rPr>
        <w:t>materials and patient sample acquisition, labor including salaries and wages, bonus, benefits and stock-based compensation, royalties, equipment depreciation, and allocations of overhead expenses such as facilities and information technology costs</w:t>
      </w:r>
      <w:r>
        <w:rPr>
          <w:rFonts w:ascii="Arial;sans-serif" w:hAnsi="Arial;sans-serif"/>
          <w:b w:val="false"/>
          <w:color w:val="231F20"/>
          <w:sz w:val="20"/>
        </w:rPr>
        <w:t xml:space="preserve">. </w:t>
      </w:r>
      <w:r>
        <w:rPr>
          <w:rFonts w:ascii="Arial;sans-serif" w:hAnsi="Arial;sans-serif"/>
          <w:b w:val="false"/>
          <w:color w:val="000000"/>
          <w:sz w:val="20"/>
        </w:rPr>
        <w:t>Per the terms of the Separation and Distribution Agreement with Illumina, the royalty arrangement with Illumina is suspended until the earlier of December 24, 2026 or any change of control of the Company, at which time a high-single digit royalty will be payable on development services revenue</w:t>
      </w:r>
      <w:r>
        <w:rPr>
          <w:rFonts w:ascii="Arial;sans-serif" w:hAnsi="Arial;sans-serif"/>
          <w:b w:val="false"/>
          <w:color w:val="231F20"/>
          <w:sz w:val="20"/>
        </w:rPr>
        <w:t>.</w:t>
      </w:r>
    </w:p>
    <w:p>
      <w:pPr>
        <w:pStyle w:val="TextBody"/>
        <w:bidi w:val="0"/>
        <w:spacing w:lineRule="auto" w:line="288" w:before="240" w:after="283"/>
        <w:ind w:left="0" w:right="0" w:firstLine="450"/>
        <w:jc w:val="left"/>
        <w:rPr/>
      </w:pPr>
      <w:r>
        <w:rPr>
          <w:rFonts w:ascii="Arial;sans-serif" w:hAnsi="Arial;sans-serif"/>
          <w:b/>
          <w:i/>
          <w:color w:val="231F20"/>
          <w:sz w:val="20"/>
        </w:rPr>
        <w:t>Accrued Clinical</w:t>
      </w:r>
      <w:r>
        <w:rPr>
          <w:color w:val="231F20"/>
        </w:rPr>
        <w:t xml:space="preserve"> </w:t>
      </w:r>
      <w:r>
        <w:rPr>
          <w:rFonts w:ascii="Arial;sans-serif" w:hAnsi="Arial;sans-serif"/>
          <w:b/>
          <w:i/>
          <w:color w:val="231F20"/>
          <w:sz w:val="20"/>
        </w:rPr>
        <w:t>Studies</w:t>
      </w:r>
      <w:r>
        <w:rPr>
          <w:color w:val="231F20"/>
        </w:rPr>
        <w:t xml:space="preserve"> </w:t>
      </w:r>
      <w:r>
        <w:rPr>
          <w:rFonts w:ascii="Arial;sans-serif" w:hAnsi="Arial;sans-serif"/>
          <w:b/>
          <w:i/>
          <w:color w:val="231F20"/>
          <w:sz w:val="20"/>
        </w:rPr>
        <w:t>and Research and Development Expenses</w:t>
      </w:r>
    </w:p>
    <w:p>
      <w:pPr>
        <w:pStyle w:val="TextBody"/>
        <w:bidi w:val="0"/>
        <w:spacing w:lineRule="auto" w:line="288" w:before="240" w:after="283"/>
        <w:ind w:left="0" w:right="0" w:firstLine="450"/>
        <w:jc w:val="left"/>
        <w:rPr/>
      </w:pP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unbilled</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activities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clinical</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conducted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third- party</w:t>
      </w:r>
      <w:r>
        <w:rPr>
          <w:color w:val="231F20"/>
        </w:rPr>
        <w:t xml:space="preserve"> </w:t>
      </w:r>
      <w:r>
        <w:rPr>
          <w:rFonts w:ascii="Arial;sans-serif" w:hAnsi="Arial;sans-serif"/>
          <w:b w:val="false"/>
          <w:color w:val="231F20"/>
          <w:sz w:val="20"/>
        </w:rPr>
        <w:t>service</w:t>
      </w:r>
      <w:r>
        <w:rPr>
          <w:color w:val="231F20"/>
        </w:rPr>
        <w:t xml:space="preserve"> </w:t>
      </w:r>
      <w:r>
        <w:rPr>
          <w:rFonts w:ascii="Arial;sans-serif" w:hAnsi="Arial;sans-serif"/>
          <w:b w:val="false"/>
          <w:color w:val="231F20"/>
          <w:sz w:val="20"/>
        </w:rPr>
        <w:t>providers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accrued.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activities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recorded based</w:t>
      </w:r>
      <w:r>
        <w:rPr>
          <w:color w:val="231F20"/>
        </w:rPr>
        <w:t xml:space="preserve"> </w:t>
      </w:r>
      <w:r>
        <w:rPr>
          <w:rFonts w:ascii="Arial;sans-serif" w:hAnsi="Arial;sans-serif"/>
          <w:b w:val="false"/>
          <w:color w:val="231F20"/>
          <w:sz w:val="20"/>
        </w:rPr>
        <w:t>upon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provided.</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included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accrued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sheets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within</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operations.</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 significant</w:t>
      </w:r>
      <w:r>
        <w:rPr>
          <w:color w:val="231F20"/>
        </w:rPr>
        <w:t xml:space="preserve"> </w:t>
      </w:r>
      <w:r>
        <w:rPr>
          <w:rFonts w:ascii="Arial;sans-serif" w:hAnsi="Arial;sans-serif"/>
          <w:b w:val="false"/>
          <w:color w:val="231F20"/>
          <w:sz w:val="20"/>
        </w:rPr>
        <w:t>component</w:t>
      </w:r>
      <w:r>
        <w:rPr>
          <w:color w:val="231F20"/>
        </w:rPr>
        <w:t xml:space="preserve"> </w:t>
      </w:r>
      <w:r>
        <w:rPr>
          <w:rFonts w:ascii="Arial;sans-serif" w:hAnsi="Arial;sans-serif"/>
          <w:b w:val="false"/>
          <w:color w:val="231F20"/>
          <w:sz w:val="20"/>
        </w:rPr>
        <w:t>of research</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The 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accrued</w:t>
      </w:r>
      <w:r>
        <w:rPr>
          <w:color w:val="231F20"/>
        </w:rPr>
        <w:t xml:space="preserve"> </w:t>
      </w:r>
      <w:r>
        <w:rPr>
          <w:rFonts w:ascii="Arial;sans-serif" w:hAnsi="Arial;sans-serif"/>
          <w:b w:val="false"/>
          <w:color w:val="231F20"/>
          <w:sz w:val="20"/>
        </w:rPr>
        <w:t>based</w:t>
      </w:r>
      <w:r>
        <w:rPr>
          <w:color w:val="231F20"/>
        </w:rPr>
        <w:t xml:space="preserve"> </w:t>
      </w:r>
      <w:r>
        <w:rPr>
          <w:rFonts w:ascii="Arial;sans-serif" w:hAnsi="Arial;sans-serif"/>
          <w:b w:val="false"/>
          <w:color w:val="231F20"/>
          <w:sz w:val="20"/>
        </w:rPr>
        <w:t>on factors</w:t>
      </w:r>
      <w:r>
        <w:rPr>
          <w:color w:val="231F20"/>
        </w:rPr>
        <w:t xml:space="preserve"> </w:t>
      </w:r>
      <w:r>
        <w:rPr>
          <w:rFonts w:ascii="Arial;sans-serif" w:hAnsi="Arial;sans-serif"/>
          <w:b w:val="false"/>
          <w:color w:val="231F20"/>
          <w:sz w:val="20"/>
        </w:rPr>
        <w:t>such as estimates</w:t>
      </w:r>
      <w:r>
        <w:rPr>
          <w:color w:val="231F20"/>
        </w:rPr>
        <w:t xml:space="preserve"> </w:t>
      </w:r>
      <w:r>
        <w:rPr>
          <w:rFonts w:ascii="Arial;sans-serif" w:hAnsi="Arial;sans-serif"/>
          <w:b w:val="false"/>
          <w:color w:val="231F20"/>
          <w:sz w:val="20"/>
        </w:rPr>
        <w:t>of the work completed</w:t>
      </w:r>
      <w:r>
        <w:rPr>
          <w:color w:val="231F20"/>
        </w:rPr>
        <w:t xml:space="preserve"> </w:t>
      </w:r>
      <w:r>
        <w:rPr>
          <w:rFonts w:ascii="Arial;sans-serif" w:hAnsi="Arial;sans-serif"/>
          <w:b w:val="false"/>
          <w:color w:val="231F20"/>
          <w:sz w:val="20"/>
        </w:rPr>
        <w:t>and in accordance</w:t>
      </w:r>
      <w:r>
        <w:rPr>
          <w:color w:val="231F20"/>
        </w:rPr>
        <w:t xml:space="preserve"> </w:t>
      </w:r>
      <w:r>
        <w:rPr>
          <w:rFonts w:ascii="Arial;sans-serif" w:hAnsi="Arial;sans-serif"/>
          <w:b w:val="false"/>
          <w:color w:val="231F20"/>
          <w:sz w:val="20"/>
        </w:rPr>
        <w:t>with agreements</w:t>
      </w:r>
      <w:r>
        <w:rPr>
          <w:color w:val="231F20"/>
        </w:rPr>
        <w:t xml:space="preserve"> </w:t>
      </w:r>
      <w:r>
        <w:rPr>
          <w:rFonts w:ascii="Arial;sans-serif" w:hAnsi="Arial;sans-serif"/>
          <w:b w:val="false"/>
          <w:color w:val="231F20"/>
          <w:sz w:val="20"/>
        </w:rPr>
        <w:t>established</w:t>
      </w:r>
      <w:r>
        <w:rPr>
          <w:color w:val="231F20"/>
        </w:rPr>
        <w:t xml:space="preserve"> </w:t>
      </w:r>
      <w:r>
        <w:rPr>
          <w:rFonts w:ascii="Arial;sans-serif" w:hAnsi="Arial;sans-serif"/>
          <w:b w:val="false"/>
          <w:color w:val="231F20"/>
          <w:sz w:val="20"/>
        </w:rPr>
        <w:t>with third-party</w:t>
      </w:r>
      <w:r>
        <w:rPr>
          <w:color w:val="231F20"/>
        </w:rPr>
        <w:t xml:space="preserve"> </w:t>
      </w:r>
      <w:r>
        <w:rPr>
          <w:rFonts w:ascii="Arial;sans-serif" w:hAnsi="Arial;sans-serif"/>
          <w:b w:val="false"/>
          <w:color w:val="231F20"/>
          <w:sz w:val="20"/>
        </w:rPr>
        <w:t>service providers.</w:t>
      </w:r>
      <w:r>
        <w:rPr>
          <w:color w:val="231F20"/>
        </w:rPr>
        <w:t xml:space="preserve"> </w:t>
      </w:r>
      <w:r>
        <w:rPr>
          <w:rFonts w:ascii="Arial;sans-serif" w:hAnsi="Arial;sans-serif"/>
          <w:b w:val="false"/>
          <w:color w:val="231F20"/>
          <w:sz w:val="20"/>
        </w:rPr>
        <w:t>The judgments</w:t>
      </w:r>
      <w:r>
        <w:rPr>
          <w:color w:val="231F20"/>
        </w:rPr>
        <w:t xml:space="preserve"> </w:t>
      </w:r>
      <w:r>
        <w:rPr>
          <w:rFonts w:ascii="Arial;sans-serif" w:hAnsi="Arial;sans-serif"/>
          <w:b w:val="false"/>
          <w:color w:val="231F20"/>
          <w:sz w:val="20"/>
        </w:rPr>
        <w:t>and estimates</w:t>
      </w:r>
      <w:r>
        <w:rPr>
          <w:color w:val="231F20"/>
        </w:rPr>
        <w:t xml:space="preserve"> </w:t>
      </w:r>
      <w:r>
        <w:rPr>
          <w:rFonts w:ascii="Arial;sans-serif" w:hAnsi="Arial;sans-serif"/>
          <w:b w:val="false"/>
          <w:color w:val="231F20"/>
          <w:sz w:val="20"/>
        </w:rPr>
        <w:t>in determining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accrued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assessed</w:t>
      </w:r>
      <w:r>
        <w:rPr>
          <w:color w:val="231F20"/>
        </w:rPr>
        <w:t xml:space="preserve"> </w:t>
      </w:r>
      <w:r>
        <w:rPr>
          <w:rFonts w:ascii="Arial;sans-serif" w:hAnsi="Arial;sans-serif"/>
          <w:b w:val="false"/>
          <w:color w:val="231F20"/>
          <w:sz w:val="20"/>
        </w:rPr>
        <w:t>in each reporting</w:t>
      </w:r>
      <w:r>
        <w:rPr>
          <w:color w:val="231F20"/>
        </w:rPr>
        <w:t xml:space="preserve"> </w:t>
      </w:r>
      <w:r>
        <w:rPr>
          <w:rFonts w:ascii="Arial;sans-serif" w:hAnsi="Arial;sans-serif"/>
          <w:b w:val="false"/>
          <w:color w:val="231F20"/>
          <w:sz w:val="20"/>
        </w:rPr>
        <w:t>period.</w:t>
      </w:r>
    </w:p>
    <w:p>
      <w:pPr>
        <w:pStyle w:val="TextBody"/>
        <w:bidi w:val="0"/>
        <w:spacing w:lineRule="auto" w:line="288" w:before="240" w:after="283"/>
        <w:jc w:val="left"/>
        <w:rPr>
          <w:rFonts w:ascii="Arial;sans-serif" w:hAnsi="Arial;sans-serif"/>
          <w:b/>
          <w:i/>
          <w:color w:val="231F20"/>
          <w:sz w:val="20"/>
        </w:rPr>
      </w:pPr>
      <w:r>
        <w:rPr>
          <w:rFonts w:ascii="Arial;sans-serif" w:hAnsi="Arial;sans-serif"/>
          <w:b/>
          <w:i/>
          <w:color w:val="231F20"/>
          <w:sz w:val="20"/>
        </w:rPr>
        <w:t xml:space="preserve">Research and Development </w:t>
      </w:r>
    </w:p>
    <w:p>
      <w:pPr>
        <w:pStyle w:val="TextBody"/>
        <w:bidi w:val="0"/>
        <w:spacing w:lineRule="auto" w:line="288" w:before="240" w:after="283"/>
        <w:ind w:left="0" w:right="0" w:firstLine="450"/>
        <w:jc w:val="left"/>
        <w:rPr/>
      </w:pP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include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incurred to</w:t>
      </w:r>
      <w:r>
        <w:rPr>
          <w:color w:val="231F20"/>
        </w:rPr>
        <w:t xml:space="preserve"> </w:t>
      </w:r>
      <w:r>
        <w:rPr>
          <w:rFonts w:ascii="Arial;sans-serif" w:hAnsi="Arial;sans-serif"/>
          <w:b w:val="false"/>
          <w:color w:val="231F20"/>
          <w:sz w:val="20"/>
        </w:rPr>
        <w:t>develop</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technology</w:t>
      </w:r>
      <w:r>
        <w:rPr>
          <w:color w:val="231F20"/>
        </w:rPr>
        <w:t xml:space="preserve"> </w:t>
      </w:r>
      <w:r>
        <w:rPr>
          <w:rFonts w:ascii="Arial;sans-serif" w:hAnsi="Arial;sans-serif"/>
          <w:b w:val="false"/>
          <w:color w:val="231F20"/>
          <w:sz w:val="20"/>
        </w:rPr>
        <w:t>(prior</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establishing</w:t>
      </w:r>
      <w:r>
        <w:rPr>
          <w:color w:val="231F20"/>
        </w:rPr>
        <w:t xml:space="preserve"> </w:t>
      </w:r>
      <w:r>
        <w:rPr>
          <w:rFonts w:ascii="Arial;sans-serif" w:hAnsi="Arial;sans-serif"/>
          <w:b w:val="false"/>
          <w:color w:val="231F20"/>
          <w:sz w:val="20"/>
        </w:rPr>
        <w:t>technological</w:t>
      </w:r>
      <w:r>
        <w:rPr>
          <w:color w:val="231F20"/>
        </w:rPr>
        <w:t xml:space="preserve"> </w:t>
      </w:r>
      <w:r>
        <w:rPr>
          <w:rFonts w:ascii="Arial;sans-serif" w:hAnsi="Arial;sans-serif"/>
          <w:b w:val="false"/>
          <w:color w:val="231F20"/>
          <w:sz w:val="20"/>
        </w:rPr>
        <w:t>feasibility),</w:t>
      </w:r>
      <w:r>
        <w:rPr>
          <w:color w:val="231F20"/>
        </w:rPr>
        <w:t xml:space="preserve"> </w:t>
      </w:r>
      <w:r>
        <w:rPr>
          <w:rFonts w:ascii="Arial;sans-serif" w:hAnsi="Arial;sans-serif"/>
          <w:b w:val="false"/>
          <w:color w:val="231F20"/>
          <w:sz w:val="20"/>
        </w:rPr>
        <w:t>collect</w:t>
      </w:r>
      <w:r>
        <w:rPr>
          <w:color w:val="231F20"/>
        </w:rPr>
        <w:t xml:space="preserve"> </w:t>
      </w:r>
      <w:r>
        <w:rPr>
          <w:rFonts w:ascii="Arial;sans-serif" w:hAnsi="Arial;sans-serif"/>
          <w:b w:val="false"/>
          <w:color w:val="231F20"/>
          <w:sz w:val="20"/>
        </w:rPr>
        <w:t>clinical</w:t>
      </w:r>
      <w:r>
        <w:rPr>
          <w:color w:val="231F20"/>
        </w:rPr>
        <w:t xml:space="preserve"> </w:t>
      </w:r>
      <w:r>
        <w:rPr>
          <w:rFonts w:ascii="Arial;sans-serif" w:hAnsi="Arial;sans-serif"/>
          <w:b w:val="false"/>
          <w:color w:val="231F20"/>
          <w:sz w:val="20"/>
        </w:rPr>
        <w:t>samples, and</w:t>
      </w:r>
      <w:r>
        <w:rPr>
          <w:color w:val="231F20"/>
        </w:rPr>
        <w:t xml:space="preserve"> </w:t>
      </w:r>
      <w:r>
        <w:rPr>
          <w:rFonts w:ascii="Arial;sans-serif" w:hAnsi="Arial;sans-serif"/>
          <w:b w:val="false"/>
          <w:color w:val="231F20"/>
          <w:sz w:val="20"/>
        </w:rPr>
        <w:t>conduct</w:t>
      </w:r>
      <w:r>
        <w:rPr>
          <w:color w:val="231F20"/>
        </w:rPr>
        <w:t xml:space="preserve"> </w:t>
      </w:r>
      <w:r>
        <w:rPr>
          <w:rFonts w:ascii="Arial;sans-serif" w:hAnsi="Arial;sans-serif"/>
          <w:b w:val="false"/>
          <w:color w:val="231F20"/>
          <w:sz w:val="20"/>
        </w:rPr>
        <w:t>clinical</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develop</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support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multi-cancer</w:t>
      </w:r>
      <w:r>
        <w:rPr>
          <w:color w:val="231F20"/>
        </w:rPr>
        <w:t xml:space="preserve"> </w:t>
      </w:r>
      <w:r>
        <w:rPr>
          <w:rFonts w:ascii="Arial;sans-serif" w:hAnsi="Arial;sans-serif"/>
          <w:b w:val="false"/>
          <w:color w:val="231F20"/>
          <w:sz w:val="20"/>
        </w:rPr>
        <w:t>tests.</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consist</w:t>
      </w:r>
      <w:r>
        <w:rPr>
          <w:color w:val="231F20"/>
        </w:rPr>
        <w:t xml:space="preserve"> </w:t>
      </w:r>
      <w:r>
        <w:rPr>
          <w:rFonts w:ascii="Arial;sans-serif" w:hAnsi="Arial;sans-serif"/>
          <w:b w:val="false"/>
          <w:color w:val="231F20"/>
          <w:sz w:val="20"/>
        </w:rPr>
        <w:t>of personnel</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salaries,</w:t>
      </w:r>
      <w:r>
        <w:rPr>
          <w:color w:val="231F20"/>
        </w:rPr>
        <w:t xml:space="preserve"> </w:t>
      </w:r>
      <w:r>
        <w:rPr>
          <w:rFonts w:ascii="Arial;sans-serif" w:hAnsi="Arial;sans-serif"/>
          <w:b w:val="false"/>
          <w:color w:val="231F20"/>
          <w:sz w:val="20"/>
        </w:rPr>
        <w:t>benefits,</w:t>
      </w:r>
      <w:r>
        <w:rPr>
          <w:color w:val="231F20"/>
        </w:rPr>
        <w:t xml:space="preserve"> </w:t>
      </w:r>
      <w:r>
        <w:rPr>
          <w:rFonts w:ascii="Arial;sans-serif" w:hAnsi="Arial;sans-serif"/>
          <w:b w:val="false"/>
          <w:color w:val="231F20"/>
          <w:sz w:val="20"/>
        </w:rPr>
        <w:t>and stock-based</w:t>
      </w:r>
      <w:r>
        <w:rPr>
          <w:color w:val="231F20"/>
        </w:rPr>
        <w:t xml:space="preserve"> </w:t>
      </w:r>
      <w:r>
        <w:rPr>
          <w:rFonts w:ascii="Arial;sans-serif" w:hAnsi="Arial;sans-serif"/>
          <w:b w:val="false"/>
          <w:color w:val="231F20"/>
          <w:sz w:val="20"/>
        </w:rPr>
        <w:t>compensation</w:t>
      </w:r>
      <w:r>
        <w:rPr>
          <w:color w:val="231F20"/>
        </w:rPr>
        <w:t xml:space="preserve"> </w:t>
      </w:r>
      <w:r>
        <w:rPr>
          <w:rFonts w:ascii="Arial;sans-serif" w:hAnsi="Arial;sans-serif"/>
          <w:b w:val="false"/>
          <w:color w:val="231F20"/>
          <w:sz w:val="20"/>
        </w:rPr>
        <w:t>expense</w:t>
      </w:r>
      <w:r>
        <w:rPr>
          <w:color w:val="231F20"/>
        </w:rPr>
        <w:t xml:space="preserve"> </w:t>
      </w:r>
      <w:r>
        <w:rPr>
          <w:rFonts w:ascii="Arial;sans-serif" w:hAnsi="Arial;sans-serif"/>
          <w:b w:val="false"/>
          <w:color w:val="231F20"/>
          <w:sz w:val="20"/>
        </w:rPr>
        <w:t>associated</w:t>
      </w:r>
      <w:r>
        <w:rPr>
          <w:color w:val="231F20"/>
        </w:rPr>
        <w:t xml:space="preserve"> </w:t>
      </w:r>
      <w:r>
        <w:rPr>
          <w:rFonts w:ascii="Arial;sans-serif" w:hAnsi="Arial;sans-serif"/>
          <w:b w:val="false"/>
          <w:color w:val="231F20"/>
          <w:sz w:val="20"/>
        </w:rPr>
        <w:t>with the</w:t>
      </w:r>
      <w:r>
        <w:rPr>
          <w:color w:val="231F20"/>
        </w:rPr>
        <w:t xml:space="preserve"> </w:t>
      </w:r>
      <w:r>
        <w:rPr>
          <w:rFonts w:ascii="Arial;sans-serif" w:hAnsi="Arial;sans-serif"/>
          <w:b w:val="false"/>
          <w:color w:val="231F20"/>
          <w:sz w:val="20"/>
        </w:rPr>
        <w:t>research and development</w:t>
      </w:r>
      <w:r>
        <w:rPr>
          <w:color w:val="231F20"/>
        </w:rPr>
        <w:t xml:space="preserve"> </w:t>
      </w:r>
      <w:r>
        <w:rPr>
          <w:rFonts w:ascii="Arial;sans-serif" w:hAnsi="Arial;sans-serif"/>
          <w:b w:val="false"/>
          <w:color w:val="231F20"/>
          <w:sz w:val="20"/>
        </w:rPr>
        <w:t>personnel,</w:t>
      </w:r>
      <w:r>
        <w:rPr>
          <w:color w:val="231F20"/>
        </w:rPr>
        <w:t xml:space="preserve"> </w:t>
      </w:r>
      <w:r>
        <w:rPr>
          <w:rFonts w:ascii="Arial;sans-serif" w:hAnsi="Arial;sans-serif"/>
          <w:b w:val="false"/>
          <w:color w:val="231F20"/>
          <w:sz w:val="20"/>
        </w:rPr>
        <w:t>laboratory</w:t>
      </w:r>
      <w:r>
        <w:rPr>
          <w:color w:val="231F20"/>
        </w:rPr>
        <w:t xml:space="preserve"> </w:t>
      </w:r>
      <w:r>
        <w:rPr>
          <w:rFonts w:ascii="Arial;sans-serif" w:hAnsi="Arial;sans-serif"/>
          <w:b w:val="false"/>
          <w:color w:val="231F20"/>
          <w:sz w:val="20"/>
        </w:rPr>
        <w:t>supplies,</w:t>
      </w:r>
      <w:r>
        <w:rPr>
          <w:color w:val="231F20"/>
        </w:rPr>
        <w:t xml:space="preserve"> </w:t>
      </w:r>
      <w:r>
        <w:rPr>
          <w:rFonts w:ascii="Arial;sans-serif" w:hAnsi="Arial;sans-serif"/>
          <w:b w:val="false"/>
          <w:color w:val="231F20"/>
          <w:sz w:val="20"/>
        </w:rPr>
        <w:t>consulting</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associated</w:t>
      </w:r>
      <w:r>
        <w:rPr>
          <w:color w:val="231F20"/>
        </w:rPr>
        <w:t xml:space="preserve"> </w:t>
      </w:r>
      <w:r>
        <w:rPr>
          <w:rFonts w:ascii="Arial;sans-serif" w:hAnsi="Arial;sans-serif"/>
          <w:b w:val="false"/>
          <w:color w:val="231F20"/>
          <w:sz w:val="20"/>
        </w:rPr>
        <w:t>with setting</w:t>
      </w:r>
      <w:r>
        <w:rPr>
          <w:color w:val="231F20"/>
        </w:rPr>
        <w:t xml:space="preserve"> </w:t>
      </w:r>
      <w:r>
        <w:rPr>
          <w:rFonts w:ascii="Arial;sans-serif" w:hAnsi="Arial;sans-serif"/>
          <w:b w:val="false"/>
          <w:color w:val="231F20"/>
          <w:sz w:val="20"/>
        </w:rPr>
        <w:t>up and conducting clinical</w:t>
      </w:r>
      <w:r>
        <w:rPr>
          <w:color w:val="231F20"/>
        </w:rPr>
        <w:t xml:space="preserve"> </w:t>
      </w:r>
      <w:r>
        <w:rPr>
          <w:rFonts w:ascii="Arial;sans-serif" w:hAnsi="Arial;sans-serif"/>
          <w:b w:val="false"/>
          <w:color w:val="231F20"/>
          <w:sz w:val="20"/>
        </w:rPr>
        <w:t>studies</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domestic</w:t>
      </w:r>
      <w:r>
        <w:rPr>
          <w:color w:val="231F20"/>
        </w:rPr>
        <w:t xml:space="preserve"> </w:t>
      </w:r>
      <w:r>
        <w:rPr>
          <w:rFonts w:ascii="Arial;sans-serif" w:hAnsi="Arial;sans-serif"/>
          <w:b w:val="false"/>
          <w:color w:val="231F20"/>
          <w:sz w:val="20"/>
        </w:rPr>
        <w:t>and international</w:t>
      </w:r>
      <w:r>
        <w:rPr>
          <w:color w:val="231F20"/>
        </w:rPr>
        <w:t xml:space="preserve"> </w:t>
      </w:r>
      <w:r>
        <w:rPr>
          <w:rFonts w:ascii="Arial;sans-serif" w:hAnsi="Arial;sans-serif"/>
          <w:b w:val="false"/>
          <w:color w:val="231F20"/>
          <w:sz w:val="20"/>
        </w:rPr>
        <w:t>sites,</w:t>
      </w:r>
      <w:r>
        <w:rPr>
          <w:color w:val="231F20"/>
        </w:rPr>
        <w:t xml:space="preserve"> </w:t>
      </w:r>
      <w:r>
        <w:rPr>
          <w:rFonts w:ascii="Arial;sans-serif" w:hAnsi="Arial;sans-serif"/>
          <w:b w:val="false"/>
          <w:color w:val="231F20"/>
          <w:sz w:val="20"/>
        </w:rPr>
        <w:t>and allocated</w:t>
      </w:r>
      <w:r>
        <w:rPr>
          <w:color w:val="231F20"/>
        </w:rPr>
        <w:t xml:space="preserve"> </w:t>
      </w:r>
      <w:r>
        <w:rPr>
          <w:rFonts w:ascii="Arial;sans-serif" w:hAnsi="Arial;sans-serif"/>
          <w:b w:val="false"/>
          <w:color w:val="231F20"/>
          <w:sz w:val="20"/>
        </w:rPr>
        <w:t>overhead</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including</w:t>
      </w:r>
      <w:r>
        <w:rPr>
          <w:color w:val="231F20"/>
        </w:rPr>
        <w:t xml:space="preserve"> </w:t>
      </w:r>
      <w:r>
        <w:rPr>
          <w:rFonts w:ascii="Arial;sans-serif" w:hAnsi="Arial;sans-serif"/>
          <w:b w:val="false"/>
          <w:color w:val="231F20"/>
          <w:sz w:val="20"/>
        </w:rPr>
        <w:t>rent,</w:t>
      </w:r>
      <w:r>
        <w:rPr>
          <w:color w:val="231F20"/>
        </w:rPr>
        <w:t xml:space="preserve"> </w:t>
      </w:r>
      <w:r>
        <w:rPr>
          <w:rFonts w:ascii="Arial;sans-serif" w:hAnsi="Arial;sans-serif"/>
          <w:b w:val="false"/>
          <w:color w:val="231F20"/>
          <w:sz w:val="20"/>
        </w:rPr>
        <w:t>information technology,</w:t>
      </w:r>
      <w:r>
        <w:rPr>
          <w:color w:val="231F20"/>
        </w:rPr>
        <w:t xml:space="preserve"> </w:t>
      </w:r>
      <w:r>
        <w:rPr>
          <w:rFonts w:ascii="Arial;sans-serif" w:hAnsi="Arial;sans-serif"/>
          <w:b w:val="false"/>
          <w:color w:val="231F20"/>
          <w:sz w:val="20"/>
        </w:rPr>
        <w:t>and equipment</w:t>
      </w:r>
      <w:r>
        <w:rPr>
          <w:color w:val="231F20"/>
        </w:rPr>
        <w:t xml:space="preserve"> </w:t>
      </w:r>
      <w:r>
        <w:rPr>
          <w:rFonts w:ascii="Arial;sans-serif" w:hAnsi="Arial;sans-serif"/>
          <w:b w:val="false"/>
          <w:color w:val="231F20"/>
          <w:sz w:val="20"/>
        </w:rPr>
        <w:t>depreciation.</w:t>
      </w:r>
      <w:r>
        <w:rPr>
          <w:color w:val="231F20"/>
        </w:rPr>
        <w:t xml:space="preserve"> </w:t>
      </w:r>
      <w:r>
        <w:rPr>
          <w:rFonts w:ascii="Arial;sans-serif" w:hAnsi="Arial;sans-serif"/>
          <w:b w:val="false"/>
          <w:color w:val="231F20"/>
          <w:sz w:val="20"/>
        </w:rPr>
        <w:t>Both internal</w:t>
      </w:r>
      <w:r>
        <w:rPr>
          <w:color w:val="231F20"/>
        </w:rPr>
        <w:t xml:space="preserve"> </w:t>
      </w:r>
      <w:r>
        <w:rPr>
          <w:rFonts w:ascii="Arial;sans-serif" w:hAnsi="Arial;sans-serif"/>
          <w:b w:val="false"/>
          <w:color w:val="231F20"/>
          <w:sz w:val="20"/>
        </w:rPr>
        <w:t>and external</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costs are expensed 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periods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they</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Nonrefundable</w:t>
      </w:r>
      <w:r>
        <w:rPr>
          <w:color w:val="231F20"/>
        </w:rPr>
        <w:t xml:space="preserve"> </w:t>
      </w:r>
      <w:r>
        <w:rPr>
          <w:rFonts w:ascii="Arial;sans-serif" w:hAnsi="Arial;sans-serif"/>
          <w:b w:val="false"/>
          <w:color w:val="231F20"/>
          <w:sz w:val="20"/>
        </w:rPr>
        <w:t>advance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goods and services</w:t>
      </w:r>
      <w:r>
        <w:rPr>
          <w:color w:val="231F20"/>
        </w:rPr>
        <w:t xml:space="preserve"> </w:t>
      </w:r>
      <w:r>
        <w:rPr>
          <w:rFonts w:ascii="Arial;sans-serif" w:hAnsi="Arial;sans-serif"/>
          <w:b w:val="false"/>
          <w:color w:val="231F20"/>
          <w:sz w:val="20"/>
        </w:rPr>
        <w:t>that will</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used</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rendered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development</w:t>
      </w:r>
      <w:r>
        <w:rPr>
          <w:color w:val="231F20"/>
        </w:rPr>
        <w:t xml:space="preserve"> </w:t>
      </w:r>
      <w:r>
        <w:rPr>
          <w:rFonts w:ascii="Arial;sans-serif" w:hAnsi="Arial;sans-serif"/>
          <w:b w:val="false"/>
          <w:color w:val="231F20"/>
          <w:sz w:val="20"/>
        </w:rPr>
        <w:t>activities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deferred</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recognized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expense</w:t>
      </w:r>
      <w:r>
        <w:rPr>
          <w:color w:val="231F20"/>
        </w:rPr>
        <w:t xml:space="preserve"> </w:t>
      </w:r>
      <w:r>
        <w:rPr>
          <w:rFonts w:ascii="Arial;sans-serif" w:hAnsi="Arial;sans-serif"/>
          <w:b w:val="false"/>
          <w:color w:val="231F20"/>
          <w:sz w:val="20"/>
        </w:rPr>
        <w:t>in the</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goods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delivered,</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services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performed.</w:t>
      </w:r>
    </w:p>
    <w:p>
      <w:pPr>
        <w:pStyle w:val="TextBody"/>
        <w:bidi w:val="0"/>
        <w:spacing w:lineRule="auto" w:line="288" w:before="240" w:after="283"/>
        <w:jc w:val="left"/>
        <w:rPr/>
      </w:pPr>
      <w:r>
        <w:rPr>
          <w:rFonts w:ascii="Arial;sans-serif" w:hAnsi="Arial;sans-serif"/>
          <w:b/>
          <w:i/>
          <w:color w:val="231F20"/>
          <w:sz w:val="20"/>
        </w:rPr>
        <w:t>Advertising</w:t>
      </w:r>
      <w:r>
        <w:rPr>
          <w:color w:val="231F20"/>
        </w:rPr>
        <w:t xml:space="preserve"> </w:t>
      </w:r>
      <w:r>
        <w:rPr>
          <w:rFonts w:ascii="Arial;sans-serif" w:hAnsi="Arial;sans-serif"/>
          <w:b/>
          <w:i/>
          <w:color w:val="231F20"/>
          <w:sz w:val="20"/>
        </w:rPr>
        <w:t>Costs</w:t>
      </w:r>
    </w:p>
    <w:p>
      <w:pPr>
        <w:pStyle w:val="TextBody"/>
        <w:bidi w:val="0"/>
        <w:spacing w:lineRule="auto" w:line="288" w:before="240" w:after="283"/>
        <w:ind w:left="0" w:right="0" w:firstLine="450"/>
        <w:jc w:val="left"/>
        <w:rPr/>
      </w:pPr>
      <w:r>
        <w:rPr>
          <w:rFonts w:ascii="Arial;sans-serif" w:hAnsi="Arial;sans-serif"/>
          <w:b w:val="false"/>
          <w:color w:val="231F20"/>
          <w:sz w:val="20"/>
        </w:rPr>
        <w:t>Advertising</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expensed</w:t>
      </w:r>
      <w:r>
        <w:rPr>
          <w:color w:val="231F20"/>
        </w:rPr>
        <w:t xml:space="preserve"> </w:t>
      </w:r>
      <w:r>
        <w:rPr>
          <w:rFonts w:ascii="Arial;sans-serif" w:hAnsi="Arial;sans-serif"/>
          <w:b w:val="false"/>
          <w:color w:val="231F20"/>
          <w:sz w:val="20"/>
        </w:rPr>
        <w:t>as incurred.</w:t>
      </w:r>
      <w:r>
        <w:rPr>
          <w:color w:val="231F20"/>
        </w:rPr>
        <w:t xml:space="preserve"> </w:t>
      </w:r>
      <w:r>
        <w:rPr>
          <w:rFonts w:ascii="Arial;sans-serif" w:hAnsi="Arial;sans-serif"/>
          <w:b w:val="false"/>
          <w:color w:val="231F20"/>
          <w:sz w:val="20"/>
        </w:rPr>
        <w:t>Advertising</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 xml:space="preserve">were </w:t>
      </w:r>
      <w:r>
        <w:rPr>
          <w:rFonts w:ascii="Arial;sans-serif" w:hAnsi="Arial;sans-serif"/>
          <w:b w:val="false"/>
          <w:color w:val="000000"/>
          <w:sz w:val="20"/>
        </w:rPr>
        <w:t>$15.1 million,</w:t>
      </w:r>
      <w:r>
        <w:rPr>
          <w:color w:val="231F20"/>
        </w:rPr>
        <w:t xml:space="preserve"> </w:t>
      </w:r>
      <w:r>
        <w:rPr>
          <w:rFonts w:ascii="Arial;sans-serif" w:hAnsi="Arial;sans-serif"/>
          <w:b w:val="false"/>
          <w:color w:val="000000"/>
          <w:sz w:val="20"/>
        </w:rPr>
        <w:t>$17.7 million</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$21.9 million</w:t>
      </w:r>
      <w:r>
        <w:rPr>
          <w:color w:val="231F20"/>
        </w:rPr>
        <w:t xml:space="preserve"> </w:t>
      </w:r>
      <w:r>
        <w:rPr>
          <w:rFonts w:ascii="Arial;sans-serif" w:hAnsi="Arial;sans-serif"/>
          <w:b w:val="false"/>
          <w:color w:val="231F20"/>
          <w:sz w:val="20"/>
        </w:rPr>
        <w:t xml:space="preserve">for the years ended December 31, 2025, </w:t>
      </w:r>
      <w:r>
        <w:rPr>
          <w:rFonts w:ascii="Arial;sans-serif" w:hAnsi="Arial;sans-serif"/>
          <w:b w:val="false"/>
          <w:color w:val="000000"/>
          <w:sz w:val="20"/>
        </w:rPr>
        <w:t>December 31, 2024</w:t>
      </w:r>
      <w:r>
        <w:rPr>
          <w:rFonts w:ascii="Arial;sans-serif" w:hAnsi="Arial;sans-serif"/>
          <w:b w:val="false"/>
          <w:color w:val="231F20"/>
          <w:sz w:val="20"/>
        </w:rPr>
        <w:t xml:space="preserve">, and </w:t>
      </w:r>
      <w:r>
        <w:rPr>
          <w:rFonts w:ascii="Arial;sans-serif" w:hAnsi="Arial;sans-serif"/>
          <w:b w:val="false"/>
          <w:color w:val="000000"/>
          <w:sz w:val="20"/>
        </w:rPr>
        <w:t>December 31, 2023</w:t>
      </w:r>
      <w:r>
        <w:rPr>
          <w:rFonts w:ascii="Arial;sans-serif" w:hAnsi="Arial;sans-serif"/>
          <w:b w:val="false"/>
          <w:color w:val="231F20"/>
          <w:sz w:val="20"/>
        </w:rPr>
        <w:t>.</w:t>
      </w:r>
    </w:p>
    <w:p>
      <w:pPr>
        <w:pStyle w:val="TextBody"/>
        <w:bidi w:val="0"/>
        <w:spacing w:lineRule="auto" w:line="288" w:before="240" w:after="283"/>
        <w:jc w:val="left"/>
        <w:rPr/>
      </w:pPr>
      <w:r>
        <w:rPr>
          <w:rFonts w:ascii="Arial;sans-serif" w:hAnsi="Arial;sans-serif"/>
          <w:b/>
          <w:i/>
          <w:color w:val="231F20"/>
          <w:sz w:val="20"/>
        </w:rPr>
        <w:t>Stock-Based</w:t>
      </w:r>
      <w:r>
        <w:rPr>
          <w:color w:val="231F20"/>
        </w:rPr>
        <w:t xml:space="preserve"> </w:t>
      </w:r>
      <w:r>
        <w:rPr>
          <w:rFonts w:ascii="Arial;sans-serif" w:hAnsi="Arial;sans-serif"/>
          <w:b/>
          <w:i/>
          <w:color w:val="231F20"/>
          <w:sz w:val="20"/>
        </w:rPr>
        <w:t>Compensation</w:t>
      </w:r>
      <w:r>
        <w:rPr>
          <w:color w:val="231F20"/>
        </w:rPr>
        <w:t xml:space="preserve"> </w:t>
      </w:r>
      <w:r>
        <w:rPr>
          <w:rFonts w:ascii="Arial;sans-serif" w:hAnsi="Arial;sans-serif"/>
          <w:b/>
          <w:i/>
          <w:color w:val="231F20"/>
          <w:sz w:val="20"/>
        </w:rPr>
        <w:t>Expense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Company’s stock-based compensation expense includes expenses related to restricted stock units (“RSUs”), performance stock units (“PSUs”), deferred stock units (“DSUs”), performance stock options (“PSOs”), Employee Stock Purchase Plan (“ESPP”) and Cash-Based Equity Awards. Forfeitures are accounted for as incurred.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grant date fair values of RSUs and PSUs are generally determined based on the closing market price of GRAIL’s common stock on the date of the grant and in the case of DSUs resulting from deferrals of director cash fees, based on the closing market price of GRAIL’s common stock on the date that such cash fees would have been otherwise paid. Generally, awards of RSUs are granted subject to service conditions and PSUs are granted subject to service and performance based-conditions, with vesting periods ranging between 18 and 48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83845"/>
                <wp:effectExtent l="0" t="0" r="0" b="0"/>
                <wp:wrapNone/>
                <wp:docPr id="179" name="Frame17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Stock-based compensation expense is recognized based on the fair value of the award on a straight-line basis over the requisite service periods of the RSUs. The fair value of the PSUs begins to be recognized when it is probable that the performance-based condition will be met.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fair value of shares to be issued under the ESPP, is derived using the Black-Scholes-Merton option-pricing model at the commencement of 6-month purchase periods in May and November of each year. Stock-based compensation for the ESPP is expensed using a straight-line attribution method over the offering period. Additionally, forfeitures are accounted for as incurred.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Arial;sans-serif" w:hAnsi="Arial;sans-serif"/>
          <w:b w:val="false"/>
          <w:color w:val="000000"/>
          <w:sz w:val="20"/>
        </w:rPr>
        <w:t xml:space="preserve">The fair value of PSOs that continue to be subject to service conditions was determined using the Black-Scholes-Merton option-pricing model. The model assumptions include expected volatility, term, dividends, and the risk-free interest rate. </w:t>
      </w:r>
      <w:r>
        <w:rPr>
          <w:rFonts w:ascii="Arial;sans-serif" w:hAnsi="Arial;sans-serif"/>
          <w:b w:val="false"/>
          <w:color w:val="000000"/>
          <w:sz w:val="20"/>
          <w:shd w:fill="FFFFFF" w:val="clear"/>
        </w:rPr>
        <w:t xml:space="preserve">The expected volatility was determined by weighting the historical and implied volatility of peer companies’ common stock. </w:t>
      </w:r>
      <w:r>
        <w:rPr>
          <w:rFonts w:ascii="Arial;sans-serif" w:hAnsi="Arial;sans-serif"/>
          <w:b w:val="false"/>
          <w:color w:val="000000"/>
          <w:sz w:val="20"/>
        </w:rPr>
        <w:t>The expected term was the Company’s best estimates based on the vesting period and contractual term. Given that cash dividends were never declared or paid on the Illumina nor GRAIL common stock, the expected dividend yield is determined to be 0%. The risk-free interest rate was based upon U.S. Treasury securities with remaining terms similar to the expected term of the stock-based awards. The fair value of the PSOs begins to be recognized when it is probable that the performance-based condition will be met.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 cash-based equity incentive award (the “Cash-Based Equity Award”) program was adopted following Illumina’s acquisition of GRAIL in 2021 to provide GRAIL employees with dollar-denominated long-term incentive awards that were indexed to the value of GRAIL. In connection with the Spin-Off, in accordance with the Employee Matters Agreement, the Cash-Based Equity Awards, which were cash-settled, liability-classified awards, were modified to become RSUs that will be settled in shares of the Company’s common stock upon vesting (the “Award Modification”). Unvested PSOs that were previously held by certain GRAIL employees to purchase Illumina common stock were converted to options to purchase GRAIL common stock in connection with the Spin-Off.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Prior to the Award Modification, the Cash-Based Equity Awards were liability-classified awards because the Cash-Based Equity Awards could be (and were) settled in cash. Until April 30, 2024, GRAIL’s stand-alone value calculation was estimated by the Company based on its analysis and the input from independent valuation advisors. The value of the Cash-Based Equity Awards was recorded over the applicable vesting periods, with recognition of a corresponding liability recorded in incentive plan liabilities in the consolidated balance sheets. The Cash-Based Equity Awards were remeasured at each reporting date until settlement with changes in fair value recognized in stock-based compensation expense. On April 30, 2024, Illumina’s Compensation Committee approved an adjustment of the ordinary course payouts of the Cash-Based Equity Awards providing that the Cash-Based Equity Awards would be paid based on their nominal (face) value without adjustment based on changes in equity value. Subsequent to this adjustment to the Cash-Based Equity Awards and continuing until the Award Modification, the Cash-Based Equity Awards were expensed in accordance with their applicable vesting schedules.</w:t>
      </w:r>
    </w:p>
    <w:p>
      <w:pPr>
        <w:pStyle w:val="TextBody"/>
        <w:bidi w:val="0"/>
        <w:spacing w:lineRule="auto" w:line="288" w:before="240" w:after="283"/>
        <w:ind w:left="0" w:right="0" w:firstLine="450"/>
        <w:jc w:val="left"/>
        <w:rPr/>
      </w:pPr>
      <w:r>
        <w:rPr>
          <w:rFonts w:ascii="Arial;sans-serif" w:hAnsi="Arial;sans-serif"/>
          <w:b w:val="false"/>
          <w:color w:val="000000"/>
          <w:sz w:val="20"/>
        </w:rPr>
        <w:t>There were no Cash-Based Equity Awards outstanding as of December 31, 2024</w:t>
      </w:r>
      <w:r>
        <w:rPr>
          <w:rFonts w:ascii="Arial;sans-serif" w:hAnsi="Arial;sans-serif"/>
          <w:b w:val="false"/>
          <w:color w:val="231F20"/>
          <w:sz w:val="20"/>
        </w:rPr>
        <w:t xml:space="preserve">. </w:t>
      </w:r>
      <w:r>
        <w:rPr>
          <w:rFonts w:ascii="Arial;sans-serif" w:hAnsi="Arial;sans-serif"/>
          <w:b w:val="false"/>
          <w:color w:val="000000"/>
          <w:sz w:val="20"/>
        </w:rPr>
        <w:t xml:space="preserve">See </w:t>
      </w:r>
      <w:r>
        <w:rPr>
          <w:rFonts w:ascii="Arial;sans-serif" w:hAnsi="Arial;sans-serif"/>
          <w:b w:val="false"/>
          <w:i/>
          <w:color w:val="000000"/>
          <w:sz w:val="20"/>
        </w:rPr>
        <w:t>Note 8 — Stock-Based Compensation</w:t>
      </w:r>
      <w:r>
        <w:rPr>
          <w:color w:val="000000"/>
        </w:rPr>
        <w:t xml:space="preserve"> </w:t>
      </w:r>
      <w:r>
        <w:rPr>
          <w:rFonts w:ascii="Arial;sans-serif" w:hAnsi="Arial;sans-serif"/>
          <w:b w:val="false"/>
          <w:color w:val="000000"/>
          <w:sz w:val="20"/>
        </w:rPr>
        <w:t xml:space="preserve">for further details.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Deferred Offering Costs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capitalizes certain legal, professional accounting and other third-party fees that are directly associated with in-process equity financings as deferred offering costs until such financings are consummated. After the consummation of an equity financing, these costs are recorded as a reduction of additional paid-in capital. Should the in-process equity financing be abandoned, the deferred offering costs will be expensed immediately as a charge to operating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83845"/>
                <wp:effectExtent l="0" t="0" r="0" b="0"/>
                <wp:wrapNone/>
                <wp:docPr id="180" name="Frame17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Pre-funded Warrants</w:t>
      </w:r>
    </w:p>
    <w:p>
      <w:pPr>
        <w:pStyle w:val="TextBody"/>
        <w:bidi w:val="0"/>
        <w:spacing w:lineRule="auto" w:line="288" w:before="240" w:after="283"/>
        <w:ind w:left="0" w:right="0" w:firstLine="45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Pre-funded warrants are classified as a component of stockholders’ equity within additional paid-in capital and are recorded at the issuance date.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value of the pre-funded warrants is known at issuance, as their sales price approximates their fair value, and net proceeds from the sale are recorded as a component of additional paid-in capital.</w:t>
      </w:r>
    </w:p>
    <w:p>
      <w:pPr>
        <w:pStyle w:val="TextBody"/>
        <w:bidi w:val="0"/>
        <w:spacing w:lineRule="auto" w:line="288" w:before="240" w:after="283"/>
        <w:jc w:val="left"/>
        <w:rPr/>
      </w:pPr>
      <w:r>
        <w:rPr>
          <w:rFonts w:ascii="Arial;sans-serif" w:hAnsi="Arial;sans-serif"/>
          <w:b/>
          <w:i/>
          <w:color w:val="231F20"/>
          <w:sz w:val="20"/>
        </w:rPr>
        <w:t>Defined</w:t>
      </w:r>
      <w:r>
        <w:rPr>
          <w:color w:val="231F20"/>
        </w:rPr>
        <w:t xml:space="preserve"> </w:t>
      </w:r>
      <w:r>
        <w:rPr>
          <w:rFonts w:ascii="Arial;sans-serif" w:hAnsi="Arial;sans-serif"/>
          <w:b/>
          <w:i/>
          <w:color w:val="231F20"/>
          <w:sz w:val="20"/>
        </w:rPr>
        <w:t>Contribution</w:t>
      </w:r>
      <w:r>
        <w:rPr>
          <w:color w:val="231F20"/>
        </w:rPr>
        <w:t xml:space="preserve"> </w:t>
      </w:r>
      <w:r>
        <w:rPr>
          <w:rFonts w:ascii="Arial;sans-serif" w:hAnsi="Arial;sans-serif"/>
          <w:b/>
          <w:i/>
          <w:color w:val="231F20"/>
          <w:sz w:val="20"/>
        </w:rPr>
        <w:t>Plan</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Company sponsors a defined contribution plan under </w:t>
      </w:r>
      <w:r>
        <w:rPr>
          <w:rFonts w:ascii="Arial;sans-serif" w:hAnsi="Arial;sans-serif"/>
          <w:b w:val="false"/>
          <w:color w:val="231F20"/>
          <w:sz w:val="20"/>
        </w:rPr>
        <w:t>Section</w:t>
      </w:r>
      <w:r>
        <w:rPr>
          <w:color w:val="231F20"/>
        </w:rPr>
        <w:t xml:space="preserve"> </w:t>
      </w:r>
      <w:r>
        <w:rPr>
          <w:rFonts w:ascii="Arial;sans-serif" w:hAnsi="Arial;sans-serif"/>
          <w:b w:val="false"/>
          <w:color w:val="231F20"/>
          <w:sz w:val="20"/>
        </w:rPr>
        <w:t>401(k)</w:t>
      </w:r>
      <w:r>
        <w:rPr>
          <w:color w:val="231F20"/>
        </w:rPr>
        <w:t xml:space="preserve"> </w:t>
      </w:r>
      <w:r>
        <w:rPr>
          <w:rFonts w:ascii="Arial;sans-serif" w:hAnsi="Arial;sans-serif"/>
          <w:b w:val="false"/>
          <w:color w:val="231F20"/>
          <w:sz w:val="20"/>
        </w:rPr>
        <w:t>of the Internal Revenue Code (the</w:t>
      </w:r>
      <w:r>
        <w:rPr>
          <w:color w:val="231F20"/>
        </w:rPr>
        <w:t xml:space="preserve"> “</w:t>
      </w:r>
      <w:r>
        <w:rPr>
          <w:rFonts w:ascii="Arial;sans-serif" w:hAnsi="Arial;sans-serif"/>
          <w:b w:val="false"/>
          <w:color w:val="231F20"/>
          <w:sz w:val="20"/>
        </w:rPr>
        <w:t>401(k)</w:t>
      </w:r>
      <w:r>
        <w:rPr>
          <w:color w:val="231F20"/>
        </w:rPr>
        <w:t xml:space="preserve"> </w:t>
      </w:r>
      <w:r>
        <w:rPr>
          <w:rFonts w:ascii="Arial;sans-serif" w:hAnsi="Arial;sans-serif"/>
          <w:b w:val="false"/>
          <w:color w:val="231F20"/>
          <w:sz w:val="20"/>
        </w:rPr>
        <w:t>Plan”)</w:t>
      </w:r>
      <w:r>
        <w:rPr>
          <w:color w:val="000000"/>
        </w:rPr>
        <w:t xml:space="preserve"> </w:t>
      </w:r>
      <w:r>
        <w:rPr>
          <w:rFonts w:ascii="Arial;sans-serif" w:hAnsi="Arial;sans-serif"/>
          <w:b w:val="false"/>
          <w:color w:val="000000"/>
          <w:sz w:val="20"/>
        </w:rPr>
        <w:t>pursuant to which, eligible employees can elect to contribute eligible compensation to the 401(k) Plan, subject to certain limitations. On January 1, 2023, the 401K Plan was modified to provide for a 100% employer match of employee contributions up to a maximum of three thousand dollars per employee. For the years ended December 31, 2025 and December 31, 2024, the Company contributed $2.6 million and $3.9 million to match employee contributions. The Company pays the administrative costs for the 401(k) plan.</w:t>
      </w:r>
    </w:p>
    <w:p>
      <w:pPr>
        <w:pStyle w:val="TextBody"/>
        <w:bidi w:val="0"/>
        <w:spacing w:lineRule="auto" w:line="288" w:before="240" w:after="283"/>
        <w:jc w:val="left"/>
        <w:rPr/>
      </w:pPr>
      <w:r>
        <w:rPr>
          <w:rFonts w:ascii="Arial;sans-serif" w:hAnsi="Arial;sans-serif"/>
          <w:b/>
          <w:i/>
          <w:color w:val="231F20"/>
          <w:sz w:val="20"/>
        </w:rPr>
        <w:t>Benefit</w:t>
      </w:r>
      <w:r>
        <w:rPr>
          <w:color w:val="231F20"/>
        </w:rPr>
        <w:t xml:space="preserve"> </w:t>
      </w:r>
      <w:r>
        <w:rPr>
          <w:rFonts w:ascii="Arial;sans-serif" w:hAnsi="Arial;sans-serif"/>
          <w:b/>
          <w:i/>
          <w:color w:val="231F20"/>
          <w:sz w:val="20"/>
        </w:rPr>
        <w:t>from</w:t>
      </w:r>
      <w:r>
        <w:rPr>
          <w:color w:val="231F20"/>
        </w:rPr>
        <w:t xml:space="preserve"> </w:t>
      </w:r>
      <w:r>
        <w:rPr>
          <w:rFonts w:ascii="Arial;sans-serif" w:hAnsi="Arial;sans-serif"/>
          <w:b/>
          <w:i/>
          <w:color w:val="231F20"/>
          <w:sz w:val="20"/>
        </w:rPr>
        <w:t>Income</w:t>
      </w:r>
      <w:r>
        <w:rPr>
          <w:color w:val="231F20"/>
        </w:rPr>
        <w:t xml:space="preserve"> </w:t>
      </w:r>
      <w:r>
        <w:rPr>
          <w:rFonts w:ascii="Arial;sans-serif" w:hAnsi="Arial;sans-serif"/>
          <w:b/>
          <w:i/>
          <w:color w:val="231F20"/>
          <w:sz w:val="20"/>
        </w:rPr>
        <w:t>Taxes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Income taxes are accounted for under the asset and liability method, which requires the recognition of deferred tax assets and liabilities for the future tax consequences of events that have been included in the consolidated financial statements. Deferred tax assets are recognized for deductible temporary differences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portions or all of the deferred tax assets will not be realized. Deferred tax assets and liabilities are adjusted for the effects of changes in tax laws and rates on the date of enactment.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We recognize the impact of a tax position in our consolidated financial statements only if that position is more likely than not of being sustained upon examination by taxing authorities, based on the technical merits of the position. Due to the complexity of some of the uncertainties, the ultimate resolution may result in payments that are materially different from our current estimate of the tax liability. These differences, as well as any interest and penalties, will be reflected in the provision for income taxes in the period in which they are determined.</w:t>
      </w:r>
    </w:p>
    <w:p>
      <w:pPr>
        <w:pStyle w:val="TextBody"/>
        <w:bidi w:val="0"/>
        <w:spacing w:lineRule="auto" w:line="288" w:before="240" w:after="283"/>
        <w:ind w:left="0" w:right="0" w:firstLine="450"/>
        <w:jc w:val="left"/>
        <w:rPr/>
      </w:pPr>
      <w:r>
        <w:rPr>
          <w:rFonts w:ascii="Arial;sans-serif" w:hAnsi="Arial;sans-serif"/>
          <w:b w:val="false"/>
          <w:color w:val="000000"/>
          <w:sz w:val="20"/>
        </w:rPr>
        <w:t>As a standalone entity, the Company files tax returns on its own behalf, and tax balances and the effective income tax rate may differ from the amounts reported in historical periods. As of June 24, 2024 and in connection with the Spin-Off, the Company adjusted its deferred tax balances and computed its related tax provision to reflect operations as a standalone entity. During the period that Illumina held the Company, the Company’s activity generated various tax attributes recognized as deferred tax assets, due primarily to the generation of net operating losses, IRC 174 capitalized research and experimental expenditures, and research and development (“R&amp;D”) tax credits that could not be specifically utilized by the Company as it did not generate positive taxable income and it was not a separately regarded tax paying entity from Illumina.</w:t>
      </w:r>
      <w:r>
        <w:rPr>
          <w:color w:val="000000"/>
          <w:shd w:fill="FFFFFF" w:val="clear"/>
        </w:rPr>
        <w:t xml:space="preserve"> </w:t>
      </w:r>
      <w:r>
        <w:rPr>
          <w:rFonts w:ascii="Arial;sans-serif" w:hAnsi="Arial;sans-serif"/>
          <w:b w:val="false"/>
          <w:color w:val="000000"/>
          <w:sz w:val="20"/>
          <w:shd w:fill="FFFFFF" w:val="clear"/>
        </w:rPr>
        <w:t>Since the Company was not a separately regarded taxable entity from Illumina, these tax attributes were either utilized by or will be utilized by Illumina when filing its consolidated tax return. Historically, the tax attributes were o</w:t>
      </w:r>
      <w:r>
        <w:rPr>
          <w:rFonts w:ascii="Arial;sans-serif" w:hAnsi="Arial;sans-serif"/>
          <w:b w:val="false"/>
          <w:color w:val="000000"/>
          <w:sz w:val="20"/>
        </w:rPr>
        <w:t xml:space="preserve">nly presented in the Company’s standalone financial statements to allow the users to understand the financial position of the Company as a standalone taxable entity under the Separate-Return Method. The total tax-effected value of the tax attributes, net of Financial Accounting Standards Board Interpretation No. 48 liabilities and valuation allowance that were deemed to be the property of Illumina, was $447.2 million. In connection with the Spin-off,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83845"/>
                <wp:effectExtent l="0" t="0" r="0" b="0"/>
                <wp:wrapNone/>
                <wp:docPr id="181" name="Frame17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000000"/>
          <w:sz w:val="20"/>
        </w:rPr>
        <w:t xml:space="preserve">underlying $447.2 million of tax attributes were adjusted through an entry of </w:t>
      </w:r>
      <w:r>
        <w:rPr>
          <w:rFonts w:ascii="Arial;sans-serif" w:hAnsi="Arial;sans-serif"/>
          <w:b w:val="false"/>
          <w:color w:val="231F20"/>
          <w:sz w:val="20"/>
        </w:rPr>
        <w:t>$447.2 million</w:t>
      </w:r>
      <w:r>
        <w:rPr>
          <w:color w:val="000000"/>
        </w:rPr>
        <w:t xml:space="preserve"> </w:t>
      </w:r>
      <w:r>
        <w:rPr>
          <w:rFonts w:ascii="Arial;sans-serif" w:hAnsi="Arial;sans-serif"/>
          <w:b w:val="false"/>
          <w:color w:val="000000"/>
          <w:sz w:val="20"/>
        </w:rPr>
        <w:t>to additional paid in capital.</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Net Loss Per Share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Company calculates basic net loss per share by dividing the net loss by the weighted-average number of shares of common stock outstanding for the period. </w:t>
      </w:r>
      <w:r>
        <w:rPr>
          <w:rFonts w:ascii="Arial;sans-serif" w:hAnsi="Arial;sans-serif"/>
          <w:b w:val="false"/>
          <w:color w:val="000000"/>
          <w:sz w:val="20"/>
          <w:shd w:fill="FFFFFF" w:val="clear"/>
        </w:rPr>
        <w:t>The weighted-average shares number of shares of common stock outstanding as of December 31, 2025 included pre-funded warrants, as the shares underlying the warrants are issuable for little cash consideration and are immediately exercisable</w:t>
      </w:r>
      <w:r>
        <w:rPr>
          <w:rFonts w:ascii="Arial;sans-serif" w:hAnsi="Arial;sans-serif"/>
          <w:b w:val="false"/>
          <w:color w:val="000000"/>
          <w:sz w:val="20"/>
        </w:rPr>
        <w:t>. Diluted net loss per share is computed based on the sum of the weighted average number of common shares and potentially dilutive common shares outstanding during the period. In loss periods, basic and diluted net loss per share are identical since the effect of potentially dilutive common shares is antidilutive and therefore excluded. Potentially dilutive common shares consist of shares issuable under equity awards. Potentially dilutive common shares from equity awards are determined using the average share price for each period under the treasury stock method. In addition, proceeds from exercise of equity awards and the average amount of unrecognized compensation expense for equity awards are assumed to be used to repurchase shares.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Restructuring Charges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Restructuring charges consist primarily of severance, benefits, payroll taxes, and other related costs. The Company records a liability for ongoing employee termination benefits when it is probable that an employee is entitled to them and the amount of the benefits can be reasonably estimated. One-time employee termination costs are recognized when management has communicated the termination plan to employees, unless future service is required, in which case the costs are recognized ratably over the future service period. All other related costs are recognized when incurred. Restructuring charges are recognized as an operating expense within the consolidated statements of operations and are classified based on each employee’s respective function.</w:t>
      </w:r>
    </w:p>
    <w:p>
      <w:pPr>
        <w:pStyle w:val="TextBody"/>
        <w:bidi w:val="0"/>
        <w:spacing w:lineRule="auto" w:line="288" w:before="240" w:after="283"/>
        <w:jc w:val="left"/>
        <w:rPr/>
      </w:pPr>
      <w:r>
        <w:rPr>
          <w:rFonts w:ascii="Arial;sans-serif" w:hAnsi="Arial;sans-serif"/>
          <w:b/>
          <w:i/>
          <w:color w:val="231F20"/>
          <w:sz w:val="20"/>
        </w:rPr>
        <w:t>Foreign</w:t>
      </w:r>
      <w:r>
        <w:rPr>
          <w:color w:val="231F20"/>
        </w:rPr>
        <w:t xml:space="preserve"> </w:t>
      </w:r>
      <w:r>
        <w:rPr>
          <w:rFonts w:ascii="Arial;sans-serif" w:hAnsi="Arial;sans-serif"/>
          <w:b/>
          <w:i/>
          <w:color w:val="231F20"/>
          <w:sz w:val="20"/>
        </w:rPr>
        <w:t>Currency</w:t>
      </w:r>
    </w:p>
    <w:p>
      <w:pPr>
        <w:pStyle w:val="TextBody"/>
        <w:bidi w:val="0"/>
        <w:spacing w:lineRule="auto" w:line="288" w:before="240" w:after="283"/>
        <w:ind w:left="0" w:right="0" w:firstLine="450"/>
        <w:jc w:val="left"/>
        <w:rPr/>
      </w:pPr>
      <w:r>
        <w:rPr>
          <w:rFonts w:ascii="Arial;sans-serif" w:hAnsi="Arial;sans-serif"/>
          <w:b w:val="false"/>
          <w:color w:val="231F20"/>
          <w:sz w:val="20"/>
        </w:rPr>
        <w:t>The functional</w:t>
      </w:r>
      <w:r>
        <w:rPr>
          <w:color w:val="231F20"/>
        </w:rPr>
        <w:t xml:space="preserve"> </w:t>
      </w:r>
      <w:r>
        <w:rPr>
          <w:rFonts w:ascii="Arial;sans-serif" w:hAnsi="Arial;sans-serif"/>
          <w:b w:val="false"/>
          <w:color w:val="231F20"/>
          <w:sz w:val="20"/>
        </w:rPr>
        <w:t>currency</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 foreign</w:t>
      </w:r>
      <w:r>
        <w:rPr>
          <w:color w:val="231F20"/>
        </w:rPr>
        <w:t xml:space="preserve"> </w:t>
      </w:r>
      <w:r>
        <w:rPr>
          <w:rFonts w:ascii="Arial;sans-serif" w:hAnsi="Arial;sans-serif"/>
          <w:b w:val="false"/>
          <w:color w:val="231F20"/>
          <w:sz w:val="20"/>
        </w:rPr>
        <w:t>subsidiary</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British</w:t>
      </w:r>
      <w:r>
        <w:rPr>
          <w:color w:val="231F20"/>
        </w:rPr>
        <w:t xml:space="preserve"> </w:t>
      </w:r>
      <w:r>
        <w:rPr>
          <w:rFonts w:ascii="Arial;sans-serif" w:hAnsi="Arial;sans-serif"/>
          <w:b w:val="false"/>
          <w:color w:val="231F20"/>
          <w:sz w:val="20"/>
        </w:rPr>
        <w:t>Pound. Adjustments</w:t>
      </w:r>
      <w:r>
        <w:rPr>
          <w:color w:val="231F20"/>
        </w:rPr>
        <w:t xml:space="preserve"> </w:t>
      </w:r>
      <w:r>
        <w:rPr>
          <w:rFonts w:ascii="Arial;sans-serif" w:hAnsi="Arial;sans-serif"/>
          <w:b w:val="false"/>
          <w:color w:val="231F20"/>
          <w:sz w:val="20"/>
        </w:rPr>
        <w:t>resulting</w:t>
      </w:r>
      <w:r>
        <w:rPr>
          <w:color w:val="231F20"/>
        </w:rPr>
        <w:t xml:space="preserve"> </w:t>
      </w:r>
      <w:r>
        <w:rPr>
          <w:rFonts w:ascii="Arial;sans-serif" w:hAnsi="Arial;sans-serif"/>
          <w:b w:val="false"/>
          <w:color w:val="231F20"/>
          <w:sz w:val="20"/>
        </w:rPr>
        <w:t>from translating</w:t>
      </w:r>
      <w:r>
        <w:rPr>
          <w:color w:val="231F20"/>
        </w:rPr>
        <w:t xml:space="preserve"> </w:t>
      </w:r>
      <w:r>
        <w:rPr>
          <w:rFonts w:ascii="Arial;sans-serif" w:hAnsi="Arial;sans-serif"/>
          <w:b w:val="false"/>
          <w:color w:val="231F20"/>
          <w:sz w:val="20"/>
        </w:rPr>
        <w:t>the financial</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of the United Kingdom subsidiary</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U.S.</w:t>
      </w:r>
      <w:r>
        <w:rPr>
          <w:color w:val="231F20"/>
        </w:rPr>
        <w:t xml:space="preserve"> </w:t>
      </w:r>
      <w:r>
        <w:rPr>
          <w:rFonts w:ascii="Arial;sans-serif" w:hAnsi="Arial;sans-serif"/>
          <w:b w:val="false"/>
          <w:color w:val="231F20"/>
          <w:sz w:val="20"/>
        </w:rPr>
        <w:t>Dollars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recorded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component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comprehensive</w:t>
      </w:r>
      <w:r>
        <w:rPr>
          <w:color w:val="231F20"/>
        </w:rPr>
        <w:t xml:space="preserve"> </w:t>
      </w:r>
      <w:r>
        <w:rPr>
          <w:rFonts w:ascii="Arial;sans-serif" w:hAnsi="Arial;sans-serif"/>
          <w:b w:val="false"/>
          <w:color w:val="231F20"/>
          <w:sz w:val="20"/>
        </w:rPr>
        <w:t>loss</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 statements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comprehensive</w:t>
      </w:r>
      <w:r>
        <w:rPr>
          <w:color w:val="231F20"/>
        </w:rPr>
        <w:t xml:space="preserve"> </w:t>
      </w:r>
      <w:r>
        <w:rPr>
          <w:rFonts w:ascii="Arial;sans-serif" w:hAnsi="Arial;sans-serif"/>
          <w:b w:val="false"/>
          <w:color w:val="231F20"/>
          <w:sz w:val="20"/>
        </w:rPr>
        <w:t>loss.</w:t>
      </w:r>
      <w:r>
        <w:rPr>
          <w:color w:val="231F20"/>
        </w:rPr>
        <w:t xml:space="preserve"> </w:t>
      </w:r>
      <w:r>
        <w:rPr>
          <w:rFonts w:ascii="Arial;sans-serif" w:hAnsi="Arial;sans-serif"/>
          <w:b w:val="false"/>
          <w:color w:val="231F20"/>
          <w:sz w:val="20"/>
        </w:rPr>
        <w:t>Monetary</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liabilities</w:t>
      </w:r>
      <w:r>
        <w:rPr>
          <w:color w:val="231F20"/>
        </w:rPr>
        <w:t xml:space="preserve"> </w:t>
      </w:r>
      <w:r>
        <w:rPr>
          <w:rFonts w:ascii="Arial;sans-serif" w:hAnsi="Arial;sans-serif"/>
          <w:b w:val="false"/>
          <w:color w:val="231F20"/>
          <w:sz w:val="20"/>
        </w:rPr>
        <w:t>denominated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foreign</w:t>
      </w:r>
      <w:r>
        <w:rPr>
          <w:color w:val="231F20"/>
        </w:rPr>
        <w:t xml:space="preserve"> </w:t>
      </w:r>
      <w:r>
        <w:rPr>
          <w:rFonts w:ascii="Arial;sans-serif" w:hAnsi="Arial;sans-serif"/>
          <w:b w:val="false"/>
          <w:color w:val="231F20"/>
          <w:sz w:val="20"/>
        </w:rPr>
        <w:t>currency</w:t>
      </w:r>
      <w:r>
        <w:rPr>
          <w:color w:val="231F20"/>
        </w:rPr>
        <w:t xml:space="preserve"> </w:t>
      </w:r>
      <w:r>
        <w:rPr>
          <w:rFonts w:ascii="Arial;sans-serif" w:hAnsi="Arial;sans-serif"/>
          <w:b w:val="false"/>
          <w:color w:val="231F20"/>
          <w:sz w:val="20"/>
        </w:rPr>
        <w:t>are translated</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U.S.</w:t>
      </w:r>
      <w:r>
        <w:rPr>
          <w:color w:val="231F20"/>
        </w:rPr>
        <w:t xml:space="preserve"> </w:t>
      </w:r>
      <w:r>
        <w:rPr>
          <w:rFonts w:ascii="Arial;sans-serif" w:hAnsi="Arial;sans-serif"/>
          <w:b w:val="false"/>
          <w:color w:val="231F20"/>
          <w:sz w:val="20"/>
        </w:rPr>
        <w:t>Dollars</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exchange</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sheet</w:t>
      </w:r>
      <w:r>
        <w:rPr>
          <w:color w:val="231F20"/>
        </w:rPr>
        <w:t xml:space="preserve"> </w:t>
      </w:r>
      <w:r>
        <w:rPr>
          <w:rFonts w:ascii="Arial;sans-serif" w:hAnsi="Arial;sans-serif"/>
          <w:b w:val="false"/>
          <w:color w:val="231F20"/>
          <w:sz w:val="20"/>
        </w:rPr>
        <w:t>date.</w:t>
      </w:r>
      <w:r>
        <w:rPr>
          <w:color w:val="231F20"/>
        </w:rPr>
        <w:t xml:space="preserve"> </w:t>
      </w:r>
      <w:r>
        <w:rPr>
          <w:rFonts w:ascii="Arial;sans-serif" w:hAnsi="Arial;sans-serif"/>
          <w:b w:val="false"/>
          <w:color w:val="231F20"/>
          <w:sz w:val="20"/>
        </w:rPr>
        <w:t>Revenues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expenses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translated 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weighted-average</w:t>
      </w:r>
      <w:r>
        <w:rPr>
          <w:color w:val="231F20"/>
        </w:rPr>
        <w:t xml:space="preserve"> </w:t>
      </w:r>
      <w:r>
        <w:rPr>
          <w:rFonts w:ascii="Arial;sans-serif" w:hAnsi="Arial;sans-serif"/>
          <w:b w:val="false"/>
          <w:color w:val="231F20"/>
          <w:sz w:val="20"/>
        </w:rPr>
        <w:t>exchange</w:t>
      </w:r>
      <w:r>
        <w:rPr>
          <w:color w:val="231F20"/>
        </w:rPr>
        <w:t xml:space="preserve"> </w:t>
      </w:r>
      <w:r>
        <w:rPr>
          <w:rFonts w:ascii="Arial;sans-serif" w:hAnsi="Arial;sans-serif"/>
          <w:b w:val="false"/>
          <w:color w:val="231F20"/>
          <w:sz w:val="20"/>
        </w:rPr>
        <w:t>rates</w:t>
      </w:r>
      <w:r>
        <w:rPr>
          <w:color w:val="231F20"/>
        </w:rPr>
        <w:t xml:space="preserve"> </w:t>
      </w:r>
      <w:r>
        <w:rPr>
          <w:rFonts w:ascii="Arial;sans-serif" w:hAnsi="Arial;sans-serif"/>
          <w:b w:val="false"/>
          <w:color w:val="231F20"/>
          <w:sz w:val="20"/>
        </w:rPr>
        <w:t>during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Equity</w:t>
      </w:r>
      <w:r>
        <w:rPr>
          <w:color w:val="231F20"/>
        </w:rPr>
        <w:t xml:space="preserve"> </w:t>
      </w:r>
      <w:r>
        <w:rPr>
          <w:rFonts w:ascii="Arial;sans-serif" w:hAnsi="Arial;sans-serif"/>
          <w:b w:val="false"/>
          <w:color w:val="231F20"/>
          <w:sz w:val="20"/>
        </w:rPr>
        <w:t>transactions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translated</w:t>
      </w:r>
      <w:r>
        <w:rPr>
          <w:color w:val="231F20"/>
        </w:rPr>
        <w:t xml:space="preserve"> </w:t>
      </w:r>
      <w:r>
        <w:rPr>
          <w:rFonts w:ascii="Arial;sans-serif" w:hAnsi="Arial;sans-serif"/>
          <w:b w:val="false"/>
          <w:color w:val="231F20"/>
          <w:sz w:val="20"/>
        </w:rPr>
        <w:t>using</w:t>
      </w:r>
      <w:r>
        <w:rPr>
          <w:color w:val="231F20"/>
        </w:rPr>
        <w:t xml:space="preserve"> </w:t>
      </w:r>
      <w:r>
        <w:rPr>
          <w:rFonts w:ascii="Arial;sans-serif" w:hAnsi="Arial;sans-serif"/>
          <w:b w:val="false"/>
          <w:color w:val="231F20"/>
          <w:sz w:val="20"/>
        </w:rPr>
        <w:t>historical exchange</w:t>
      </w:r>
      <w:r>
        <w:rPr>
          <w:color w:val="231F20"/>
        </w:rPr>
        <w:t xml:space="preserve"> </w:t>
      </w:r>
      <w:r>
        <w:rPr>
          <w:rFonts w:ascii="Arial;sans-serif" w:hAnsi="Arial;sans-serif"/>
          <w:b w:val="false"/>
          <w:color w:val="231F20"/>
          <w:sz w:val="20"/>
        </w:rPr>
        <w:t>rates.</w:t>
      </w:r>
      <w:r>
        <w:rPr>
          <w:color w:val="231F20"/>
        </w:rPr>
        <w:t xml:space="preserve"> </w:t>
      </w:r>
      <w:r>
        <w:rPr>
          <w:rFonts w:ascii="Arial;sans-serif" w:hAnsi="Arial;sans-serif"/>
          <w:b w:val="false"/>
          <w:color w:val="231F20"/>
          <w:sz w:val="20"/>
        </w:rPr>
        <w:t>Gains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losses</w:t>
      </w:r>
      <w:r>
        <w:rPr>
          <w:color w:val="231F20"/>
        </w:rPr>
        <w:t xml:space="preserve"> </w:t>
      </w:r>
      <w:r>
        <w:rPr>
          <w:rFonts w:ascii="Arial;sans-serif" w:hAnsi="Arial;sans-serif"/>
          <w:b w:val="false"/>
          <w:color w:val="231F20"/>
          <w:sz w:val="20"/>
        </w:rPr>
        <w:t>resulting</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translation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foreign</w:t>
      </w:r>
      <w:r>
        <w:rPr>
          <w:color w:val="231F20"/>
        </w:rPr>
        <w:t xml:space="preserve"> </w:t>
      </w:r>
      <w:r>
        <w:rPr>
          <w:rFonts w:ascii="Arial;sans-serif" w:hAnsi="Arial;sans-serif"/>
          <w:b w:val="false"/>
          <w:color w:val="231F20"/>
          <w:sz w:val="20"/>
        </w:rPr>
        <w:t>currency</w:t>
      </w:r>
      <w:r>
        <w:rPr>
          <w:color w:val="231F20"/>
        </w:rPr>
        <w:t xml:space="preserve"> </w:t>
      </w:r>
      <w:r>
        <w:rPr>
          <w:rFonts w:ascii="Arial;sans-serif" w:hAnsi="Arial;sans-serif"/>
          <w:b w:val="false"/>
          <w:color w:val="231F20"/>
          <w:sz w:val="20"/>
        </w:rPr>
        <w:t>monetary</w:t>
      </w:r>
      <w:r>
        <w:rPr>
          <w:color w:val="231F20"/>
        </w:rPr>
        <w:t xml:space="preserve"> </w:t>
      </w:r>
      <w:r>
        <w:rPr>
          <w:rFonts w:ascii="Arial;sans-serif" w:hAnsi="Arial;sans-serif"/>
          <w:b w:val="false"/>
          <w:color w:val="231F20"/>
          <w:sz w:val="20"/>
        </w:rPr>
        <w:t>transactions</w:t>
      </w:r>
      <w:r>
        <w:rPr>
          <w:color w:val="231F20"/>
        </w:rPr>
        <w:t xml:space="preserve"> </w:t>
      </w:r>
      <w:r>
        <w:rPr>
          <w:rFonts w:ascii="Arial;sans-serif" w:hAnsi="Arial;sans-serif"/>
          <w:b w:val="false"/>
          <w:color w:val="231F20"/>
          <w:sz w:val="20"/>
        </w:rPr>
        <w:t>are reported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income</w:t>
      </w:r>
      <w:r>
        <w:rPr>
          <w:color w:val="231F20"/>
        </w:rPr>
        <w:t xml:space="preserve"> </w:t>
      </w:r>
      <w:r>
        <w:rPr>
          <w:rFonts w:ascii="Arial;sans-serif" w:hAnsi="Arial;sans-serif"/>
          <w:b w:val="false"/>
          <w:color w:val="231F20"/>
          <w:sz w:val="20"/>
        </w:rPr>
        <w:t>(expense),</w:t>
      </w:r>
      <w:r>
        <w:rPr>
          <w:color w:val="231F20"/>
        </w:rPr>
        <w:t xml:space="preserve"> </w:t>
      </w:r>
      <w:r>
        <w:rPr>
          <w:rFonts w:ascii="Arial;sans-serif" w:hAnsi="Arial;sans-serif"/>
          <w:b w:val="false"/>
          <w:color w:val="231F20"/>
          <w:sz w:val="20"/>
        </w:rPr>
        <w:t>net</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statements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operations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comprehensive</w:t>
      </w:r>
      <w:r>
        <w:rPr>
          <w:color w:val="231F20"/>
        </w:rPr>
        <w:t xml:space="preserve"> </w:t>
      </w:r>
      <w:r>
        <w:rPr>
          <w:rFonts w:ascii="Arial;sans-serif" w:hAnsi="Arial;sans-serif"/>
          <w:b w:val="false"/>
          <w:color w:val="231F20"/>
          <w:sz w:val="20"/>
        </w:rPr>
        <w:t>loss. Gains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losses</w:t>
      </w:r>
      <w:r>
        <w:rPr>
          <w:color w:val="231F20"/>
        </w:rPr>
        <w:t xml:space="preserve"> </w:t>
      </w:r>
      <w:r>
        <w:rPr>
          <w:rFonts w:ascii="Arial;sans-serif" w:hAnsi="Arial;sans-serif"/>
          <w:b w:val="false"/>
          <w:color w:val="231F20"/>
          <w:sz w:val="20"/>
        </w:rPr>
        <w:t>resulting</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foreign</w:t>
      </w:r>
      <w:r>
        <w:rPr>
          <w:color w:val="231F20"/>
        </w:rPr>
        <w:t xml:space="preserve"> </w:t>
      </w:r>
      <w:r>
        <w:rPr>
          <w:rFonts w:ascii="Arial;sans-serif" w:hAnsi="Arial;sans-serif"/>
          <w:b w:val="false"/>
          <w:color w:val="231F20"/>
          <w:sz w:val="20"/>
        </w:rPr>
        <w:t>currency</w:t>
      </w:r>
      <w:r>
        <w:rPr>
          <w:color w:val="231F20"/>
        </w:rPr>
        <w:t xml:space="preserve"> </w:t>
      </w:r>
      <w:r>
        <w:rPr>
          <w:rFonts w:ascii="Arial;sans-serif" w:hAnsi="Arial;sans-serif"/>
          <w:b w:val="false"/>
          <w:color w:val="231F20"/>
          <w:sz w:val="20"/>
        </w:rPr>
        <w:t>transactions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deemed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long-term</w:t>
      </w:r>
      <w:r>
        <w:rPr>
          <w:color w:val="231F20"/>
        </w:rPr>
        <w:t xml:space="preserve"> </w:t>
      </w:r>
      <w:r>
        <w:rPr>
          <w:rFonts w:ascii="Arial;sans-serif" w:hAnsi="Arial;sans-serif"/>
          <w:b w:val="false"/>
          <w:color w:val="231F20"/>
          <w:sz w:val="20"/>
        </w:rPr>
        <w:t>investment nature</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reported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separate</w:t>
      </w:r>
      <w:r>
        <w:rPr>
          <w:color w:val="231F20"/>
        </w:rPr>
        <w:t xml:space="preserve"> </w:t>
      </w:r>
      <w:r>
        <w:rPr>
          <w:rFonts w:ascii="Arial;sans-serif" w:hAnsi="Arial;sans-serif"/>
          <w:b w:val="false"/>
          <w:color w:val="231F20"/>
          <w:sz w:val="20"/>
        </w:rPr>
        <w:t>component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comprehensive</w:t>
      </w:r>
      <w:r>
        <w:rPr>
          <w:color w:val="231F20"/>
        </w:rPr>
        <w:t xml:space="preserve"> </w:t>
      </w:r>
      <w:r>
        <w:rPr>
          <w:rFonts w:ascii="Arial;sans-serif" w:hAnsi="Arial;sans-serif"/>
          <w:b w:val="false"/>
          <w:color w:val="231F20"/>
          <w:sz w:val="20"/>
        </w:rPr>
        <w:t>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83845"/>
                <wp:effectExtent l="0" t="0" r="0" b="0"/>
                <wp:wrapNone/>
                <wp:docPr id="182" name="Frame17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169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Reclassification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Certain amounts within the segment disclosure in the footnote to the consolidated financial statements for the respective periods ended December 31, 2024 and December 31, 2023 have been conformed to the current period presentation.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evaluates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the Company’s consolidated financial statements.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In December 2023, the FASB issued ASU No. 2023-09, Income Taxes (Topic 740): Improvements to Income Tax Disclosures. This update improves income tax disclosure requirements, primarily through enhanced transparency and decision usefulness of disclosures. The Company adopted the standard on its effective date in 2025, on a retroactive basis, and has included the required disclosures in </w:t>
      </w:r>
      <w:r>
        <w:rPr>
          <w:rFonts w:ascii="Arial;sans-serif" w:hAnsi="Arial;sans-serif"/>
          <w:b w:val="false"/>
          <w:i/>
          <w:color w:val="000000"/>
          <w:sz w:val="20"/>
        </w:rPr>
        <w:t>Note 14 — Taxes</w:t>
      </w:r>
      <w:r>
        <w:rPr>
          <w:rFonts w:ascii="Arial;sans-serif" w:hAnsi="Arial;sans-serif"/>
          <w:b w:val="false"/>
          <w:color w:val="000000"/>
          <w:sz w:val="20"/>
        </w:rPr>
        <w:t>.</w:t>
      </w:r>
      <w:r>
        <w:rPr>
          <w:color w:val="231F20"/>
        </w:rPr>
        <w:t xml:space="preserve"> </w:t>
      </w:r>
    </w:p>
    <w:p>
      <w:pPr>
        <w:pStyle w:val="TextBody"/>
        <w:bidi w:val="0"/>
        <w:spacing w:lineRule="auto" w:line="288" w:before="240" w:after="283"/>
        <w:ind w:left="0" w:right="0" w:firstLine="450"/>
        <w:jc w:val="left"/>
        <w:rPr>
          <w:rFonts w:ascii="Arial;sans-serif" w:hAnsi="Arial;sans-serif"/>
          <w:b w:val="false"/>
          <w:i/>
          <w:color w:val="000000"/>
          <w:sz w:val="20"/>
        </w:rPr>
      </w:pPr>
      <w:r>
        <w:rPr>
          <w:rFonts w:ascii="Arial;sans-serif" w:hAnsi="Arial;sans-serif"/>
          <w:b w:val="false"/>
          <w:i/>
          <w:color w:val="000000"/>
          <w:sz w:val="20"/>
        </w:rPr>
        <w:t>Accounting Pronouncements Not Yet Adopted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This update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May 2025, the FASB issued No. ASU 2025-04, Compensation-Stock Compensation (Topic 718) and Revenue from Contracts with Customers (Topic 606). This update address diversity in practice and improves the operability of accounting for share-based consideration granted to customers. The amendments clarify how to distinguish between service and performance conditions for vesting, require entities to estimate forfeitures for all share-based consideration payable to customers, and specifies that variable consideration guidance in ASC 606 does not apply when measuring such awards. This guidance is effective for fiscal years beginning after December 15, 2026, and interim reporting periods within those annual reporting periods, with early adoption permitted. The transition method may be modified retrospective or on a retrospective basis.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July 2025, the FASB issued ASU No. 2025-05, Financial Instruments—Credit Losses (Topic 326): Measurement of Credit Losses for Accounts Receivable and Contract Assets. This update provides entities with a practical expedient related to developing reasonable and supportable forecasts as part of estimating expected credit losses, in which entities may elect to assume that current conditions as of the balance sheet date do not change for the remaining life of the asset. This guidance is effective for fiscal years beginning after December 15, 2025 and interim reporting periods within those annual reporting periods. Early adoption is permitted.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September 2025, the FASB issued ASU No. 2025-06, Intangibles—Goodwill and Other—Internal-Use Software (Subtopic 350-40): Targeted Improvements to the Accounting for Internal-Use Software. This update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guidance is effective for fiscal years beginning after December 15, 2027 and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83845"/>
                <wp:effectExtent l="0" t="0" r="0" b="0"/>
                <wp:wrapNone/>
                <wp:docPr id="183" name="Frame17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reporting periods within those annual reporting periods. Early adoption is permitted. The transition method may be prospective, modified, or retrospective.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December 2025, the FASB issued ASU No. 2025-10 (ASC Topic 832), Accounting for Government Grants Received by Business Entities. This ASU establishes the accounting and presentation for government grants received by a business entity. This guidance is effective for fiscal years beginning after December 15, 2028 and interim reporting periods within those annual reporting periods. Early adoption is permitted. This ASU provides for adoption either on a modified prospective, modified retrospective, or retrospective basis.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December 2025, the FASB issued ASU No. 2025-11, Interim Reporting (Topic 270): Narrow-Scope Improvements. This update enhances consistency in interim reporting for all entities by clarifying interim disclosure requirements and the form and content of interim financial statements in accordance with GAAP. This guidance is effective for interim reporting periods with annual reporting periods beginning after December 15, 2027. Early adoption is permitted and must be applied either prospectively or retrospectively to any or all prior periods presented in the financial statements. The Company is currently evaluating the impact of this guidance on its consolidated financial statements and related disclosures.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December 2025, the FASB issued ASU No. 2025-12, Codification Improvements. This update includes a series of technical amendments intended to clarify guidance, correct unintended application issues, and improve consistency and operability across various Topics within the FASB Accounting Standards Codification. This guidance is effective for fiscal years beginning after December 15, 2026 and interim reporting periods within those annual reporting periods. Early adoption is permitted. The Company is currently evaluating the impact of this update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83845"/>
                <wp:effectExtent l="0" t="0" r="0" b="0"/>
                <wp:wrapNone/>
                <wp:docPr id="184" name="Frame17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REVENUE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the Company’s revenue disaggregated by geographic areas based on the customers’ locations:</w:t>
      </w:r>
    </w:p>
    <w:tbl>
      <w:tblPr>
        <w:tblW w:w="6174" w:type="dxa"/>
        <w:jc w:val="left"/>
        <w:tblInd w:w="0" w:type="dxa"/>
        <w:tblLayout w:type="fixed"/>
        <w:tblCellMar>
          <w:top w:w="28" w:type="dxa"/>
          <w:left w:w="28" w:type="dxa"/>
          <w:bottom w:w="28" w:type="dxa"/>
          <w:right w:w="28" w:type="dxa"/>
        </w:tblCellMar>
      </w:tblPr>
      <w:tblGrid>
        <w:gridCol w:w="772"/>
        <w:gridCol w:w="595"/>
        <w:gridCol w:w="598"/>
        <w:gridCol w:w="215"/>
        <w:gridCol w:w="844"/>
        <w:gridCol w:w="111"/>
        <w:gridCol w:w="109"/>
        <w:gridCol w:w="109"/>
        <w:gridCol w:w="109"/>
        <w:gridCol w:w="215"/>
        <w:gridCol w:w="844"/>
        <w:gridCol w:w="111"/>
        <w:gridCol w:w="109"/>
        <w:gridCol w:w="109"/>
        <w:gridCol w:w="109"/>
        <w:gridCol w:w="236"/>
        <w:gridCol w:w="807"/>
        <w:gridCol w:w="172"/>
      </w:tblGrid>
      <w:tr>
        <w:trPr/>
        <w:tc>
          <w:tcPr>
            <w:tcW w:w="77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United States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136,760 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108,536 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75,000 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International</w:t>
            </w:r>
            <w:r>
              <w:rPr>
                <w:rFonts w:ascii="Arial;sans-serif" w:hAnsi="Arial;sans-serif"/>
                <w:b w:val="false"/>
                <w:color w:val="231F20"/>
                <w:sz w:val="12"/>
              </w:rPr>
              <w:t>(1)</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14,426 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color w:val="231F20"/>
                <w:sz w:val="18"/>
              </w:rPr>
            </w:pPr>
            <w:r>
              <w:rPr>
                <w:rFonts w:ascii="Arial;sans-serif" w:hAnsi="Arial;sans-serif"/>
                <w:b/>
                <w:color w:val="231F2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147,172 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125,595 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93,105 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_________</w:t>
      </w:r>
    </w:p>
    <w:p>
      <w:pPr>
        <w:pStyle w:val="TextBody"/>
        <w:bidi w:val="0"/>
        <w:spacing w:lineRule="auto" w:line="288" w:before="0" w:after="0"/>
        <w:jc w:val="left"/>
        <w:rPr/>
      </w:pPr>
      <w:r>
        <w:rPr>
          <w:rFonts w:ascii="Arial;sans-serif" w:hAnsi="Arial;sans-serif"/>
          <w:b w:val="false"/>
          <w:color w:val="231F20"/>
          <w:sz w:val="10"/>
        </w:rPr>
        <w:t xml:space="preserve">(1) </w:t>
      </w:r>
      <w:r>
        <w:rPr>
          <w:rFonts w:ascii="Arial;sans-serif" w:hAnsi="Arial;sans-serif"/>
          <w:b w:val="false"/>
          <w:color w:val="231F20"/>
          <w:sz w:val="16"/>
        </w:rPr>
        <w:t>International region includes revenue earned from customers located outside of the United States.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the Company’s revenue disaggregated by revenue source:</w:t>
      </w:r>
    </w:p>
    <w:tbl>
      <w:tblPr>
        <w:tblW w:w="6173" w:type="dxa"/>
        <w:jc w:val="left"/>
        <w:tblInd w:w="0" w:type="dxa"/>
        <w:tblLayout w:type="fixed"/>
        <w:tblCellMar>
          <w:top w:w="28" w:type="dxa"/>
          <w:left w:w="28" w:type="dxa"/>
          <w:bottom w:w="28" w:type="dxa"/>
          <w:right w:w="28" w:type="dxa"/>
        </w:tblCellMar>
      </w:tblPr>
      <w:tblGrid>
        <w:gridCol w:w="723"/>
        <w:gridCol w:w="635"/>
        <w:gridCol w:w="606"/>
        <w:gridCol w:w="215"/>
        <w:gridCol w:w="844"/>
        <w:gridCol w:w="111"/>
        <w:gridCol w:w="109"/>
        <w:gridCol w:w="109"/>
        <w:gridCol w:w="109"/>
        <w:gridCol w:w="215"/>
        <w:gridCol w:w="844"/>
        <w:gridCol w:w="111"/>
        <w:gridCol w:w="109"/>
        <w:gridCol w:w="109"/>
        <w:gridCol w:w="109"/>
        <w:gridCol w:w="236"/>
        <w:gridCol w:w="807"/>
        <w:gridCol w:w="172"/>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Commercial</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133,933 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108,467 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75,000 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Government</w:t>
            </w:r>
            <w:r>
              <w:rPr>
                <w:rFonts w:ascii="Arial;sans-serif" w:hAnsi="Arial;sans-serif"/>
                <w:b w:val="false"/>
                <w:color w:val="231F20"/>
                <w:sz w:val="12"/>
              </w:rPr>
              <w:t>(1)</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Commercial</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18,105 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ind w:left="0" w:right="0" w:hanging="231"/>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color w:val="231F20"/>
                <w:sz w:val="18"/>
              </w:rPr>
            </w:pPr>
            <w:r>
              <w:rPr>
                <w:rFonts w:ascii="Arial;sans-serif" w:hAnsi="Arial;sans-serif"/>
                <w:b/>
                <w:color w:val="231F2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147,172 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125,595 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93,105 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_________</w:t>
      </w:r>
    </w:p>
    <w:p>
      <w:pPr>
        <w:pStyle w:val="TextBody"/>
        <w:bidi w:val="0"/>
        <w:spacing w:lineRule="auto" w:line="288" w:before="0" w:after="0"/>
        <w:jc w:val="left"/>
        <w:rPr/>
      </w:pPr>
      <w:r>
        <w:rPr>
          <w:rFonts w:ascii="Arial;sans-serif" w:hAnsi="Arial;sans-serif"/>
          <w:b w:val="false"/>
          <w:color w:val="231F20"/>
          <w:sz w:val="10"/>
        </w:rPr>
        <w:t xml:space="preserve">(1) </w:t>
      </w:r>
      <w:r>
        <w:rPr>
          <w:rFonts w:ascii="Arial;sans-serif" w:hAnsi="Arial;sans-serif"/>
          <w:b w:val="false"/>
          <w:color w:val="231F20"/>
          <w:sz w:val="16"/>
        </w:rPr>
        <w:t>Government screening revenue primarily consists of revenue earned as part of our REACH/Galleri-Medicare clinical study.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83845"/>
                <wp:effectExtent l="0" t="0" r="0" b="0"/>
                <wp:wrapNone/>
                <wp:docPr id="185" name="Frame17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4.</w:t>
      </w:r>
      <w:r>
        <w:rPr>
          <w:color w:val="231F20"/>
        </w:rPr>
        <w:t xml:space="preserve"> </w:t>
      </w:r>
      <w:r>
        <w:rPr>
          <w:rFonts w:ascii="Arial;sans-serif" w:hAnsi="Arial;sans-serif"/>
          <w:b/>
          <w:color w:val="000000"/>
          <w:sz w:val="20"/>
        </w:rPr>
        <w:t>GOODWILL AND INTANGIBLE ASSETS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Due to the application of pushdown accounting, the Company’s consolidated balance sheet included goodwill and intangible assets recognized by Illumina in connection with Illumina’s acquisition of the Company.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Goodwill Impairment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Goodwill represented the excess of purchase price Illumina paid over the fair value of the net identifiable assets acquired upon the Acquisition of the Company.</w:t>
      </w:r>
    </w:p>
    <w:tbl>
      <w:tblPr>
        <w:tblW w:w="4236" w:type="dxa"/>
        <w:jc w:val="left"/>
        <w:tblInd w:w="0" w:type="dxa"/>
        <w:tblLayout w:type="fixed"/>
        <w:tblCellMar>
          <w:top w:w="28" w:type="dxa"/>
          <w:left w:w="28" w:type="dxa"/>
          <w:bottom w:w="28" w:type="dxa"/>
          <w:right w:w="28" w:type="dxa"/>
        </w:tblCellMar>
      </w:tblPr>
      <w:tblGrid>
        <w:gridCol w:w="1049"/>
        <w:gridCol w:w="921"/>
        <w:gridCol w:w="925"/>
        <w:gridCol w:w="211"/>
        <w:gridCol w:w="97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Goodwill</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1,497,402 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(608,466)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December 31, 2023</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888,936 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(888,936)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left"/>
        <w:rPr/>
      </w:pPr>
      <w:r>
        <w:rPr>
          <w:rFonts w:ascii="Arial;sans-serif" w:hAnsi="Arial;sans-serif"/>
          <w:b w:val="false"/>
          <w:i/>
          <w:color w:val="000000"/>
          <w:sz w:val="20"/>
        </w:rPr>
        <w:t>2023</w:t>
      </w:r>
      <w:r>
        <w:rPr>
          <w:color w:val="231F20"/>
        </w:rPr>
        <w:t xml:space="preserve"> </w:t>
      </w:r>
      <w:r>
        <w:rPr>
          <w:rFonts w:ascii="Arial;sans-serif" w:hAnsi="Arial;sans-serif"/>
          <w:b w:val="false"/>
          <w:i/>
          <w:color w:val="231F20"/>
          <w:sz w:val="20"/>
        </w:rPr>
        <w:t>Goodwill Impairment</w:t>
      </w:r>
    </w:p>
    <w:p>
      <w:pPr>
        <w:pStyle w:val="TextBody"/>
        <w:bidi w:val="0"/>
        <w:spacing w:lineRule="auto" w:line="288" w:before="120" w:after="283"/>
        <w:ind w:left="0" w:right="0" w:firstLine="450"/>
        <w:jc w:val="left"/>
        <w:rPr/>
      </w:pPr>
      <w:r>
        <w:rPr>
          <w:rFonts w:ascii="Arial;sans-serif" w:hAnsi="Arial;sans-serif"/>
          <w:b w:val="false"/>
          <w:color w:val="231F20"/>
          <w:sz w:val="20"/>
        </w:rPr>
        <w:t xml:space="preserve">In Q3 2023, </w:t>
      </w:r>
      <w:r>
        <w:rPr>
          <w:rFonts w:ascii="Arial;sans-serif" w:hAnsi="Arial;sans-serif"/>
          <w:b w:val="false"/>
          <w:color w:val="000000"/>
          <w:sz w:val="20"/>
        </w:rPr>
        <w:t>Illumina concluded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sustained</w:t>
      </w:r>
      <w:r>
        <w:rPr>
          <w:color w:val="000000"/>
        </w:rPr>
        <w:t xml:space="preserve"> </w:t>
      </w:r>
      <w:r>
        <w:rPr>
          <w:rFonts w:ascii="Arial;sans-serif" w:hAnsi="Arial;sans-serif"/>
          <w:b w:val="false"/>
          <w:color w:val="000000"/>
          <w:sz w:val="20"/>
        </w:rPr>
        <w:t>decrease</w:t>
      </w:r>
      <w:r>
        <w:rPr>
          <w:color w:val="000000"/>
        </w:rPr>
        <w:t xml:space="preserve"> </w:t>
      </w:r>
      <w:r>
        <w:rPr>
          <w:rFonts w:ascii="Arial;sans-serif" w:hAnsi="Arial;sans-serif"/>
          <w:b w:val="false"/>
          <w:color w:val="000000"/>
          <w:sz w:val="20"/>
        </w:rPr>
        <w:t>in Illumina’s</w:t>
      </w:r>
      <w:r>
        <w:rPr>
          <w:color w:val="000000"/>
        </w:rPr>
        <w:t xml:space="preserve"> </w:t>
      </w:r>
      <w:r>
        <w:rPr>
          <w:rFonts w:ascii="Arial;sans-serif" w:hAnsi="Arial;sans-serif"/>
          <w:b w:val="false"/>
          <w:color w:val="000000"/>
          <w:sz w:val="20"/>
        </w:rPr>
        <w:t>stock</w:t>
      </w:r>
      <w:r>
        <w:rPr>
          <w:color w:val="000000"/>
        </w:rPr>
        <w:t xml:space="preserve"> </w:t>
      </w:r>
      <w:r>
        <w:rPr>
          <w:rFonts w:ascii="Arial;sans-serif" w:hAnsi="Arial;sans-serif"/>
          <w:b w:val="false"/>
          <w:color w:val="000000"/>
          <w:sz w:val="20"/>
        </w:rPr>
        <w:t>price</w:t>
      </w:r>
      <w:r>
        <w:rPr>
          <w:color w:val="000000"/>
        </w:rPr>
        <w:t xml:space="preserve"> </w:t>
      </w:r>
      <w:r>
        <w:rPr>
          <w:rFonts w:ascii="Arial;sans-serif" w:hAnsi="Arial;sans-serif"/>
          <w:b w:val="false"/>
          <w:color w:val="000000"/>
          <w:sz w:val="20"/>
        </w:rPr>
        <w:t>and overall</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capitalization during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quarter</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triggering</w:t>
      </w:r>
      <w:r>
        <w:rPr>
          <w:color w:val="000000"/>
        </w:rPr>
        <w:t xml:space="preserve"> </w:t>
      </w:r>
      <w:r>
        <w:rPr>
          <w:rFonts w:ascii="Arial;sans-serif" w:hAnsi="Arial;sans-serif"/>
          <w:b w:val="false"/>
          <w:color w:val="000000"/>
          <w:sz w:val="20"/>
        </w:rPr>
        <w:t>event</w:t>
      </w:r>
      <w:r>
        <w:rPr>
          <w:color w:val="000000"/>
        </w:rPr>
        <w:t xml:space="preserve"> </w:t>
      </w:r>
      <w:r>
        <w:rPr>
          <w:rFonts w:ascii="Arial;sans-serif" w:hAnsi="Arial;sans-serif"/>
          <w:b w:val="false"/>
          <w:color w:val="000000"/>
          <w:sz w:val="20"/>
        </w:rPr>
        <w:t>indicating</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GRAIL</w:t>
      </w:r>
      <w:r>
        <w:rPr>
          <w:color w:val="000000"/>
        </w:rPr>
        <w:t xml:space="preserve"> </w:t>
      </w:r>
      <w:r>
        <w:rPr>
          <w:rFonts w:ascii="Arial;sans-serif" w:hAnsi="Arial;sans-serif"/>
          <w:b w:val="false"/>
          <w:color w:val="000000"/>
          <w:sz w:val="20"/>
        </w:rPr>
        <w:t>might</w:t>
      </w:r>
      <w:r>
        <w:rPr>
          <w:color w:val="000000"/>
        </w:rPr>
        <w:t xml:space="preserve"> </w:t>
      </w:r>
      <w:r>
        <w:rPr>
          <w:rFonts w:ascii="Arial;sans-serif" w:hAnsi="Arial;sans-serif"/>
          <w:b w:val="false"/>
          <w:color w:val="000000"/>
          <w:sz w:val="20"/>
        </w:rPr>
        <w:t>be</w:t>
      </w:r>
      <w:r>
        <w:rPr>
          <w:color w:val="000000"/>
        </w:rPr>
        <w:t xml:space="preserve"> </w:t>
      </w:r>
      <w:r>
        <w:rPr>
          <w:rFonts w:ascii="Arial;sans-serif" w:hAnsi="Arial;sans-serif"/>
          <w:b w:val="false"/>
          <w:color w:val="000000"/>
          <w:sz w:val="20"/>
        </w:rPr>
        <w:t>less</w:t>
      </w:r>
      <w:r>
        <w:rPr>
          <w:color w:val="000000"/>
        </w:rPr>
        <w:t xml:space="preserve"> </w:t>
      </w:r>
      <w:r>
        <w:rPr>
          <w:rFonts w:ascii="Arial;sans-serif" w:hAnsi="Arial;sans-serif"/>
          <w:b w:val="false"/>
          <w:color w:val="000000"/>
          <w:sz w:val="20"/>
        </w:rPr>
        <w:t>than</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carrying amount</w:t>
      </w:r>
      <w:r>
        <w:rPr>
          <w:color w:val="000000"/>
        </w:rPr>
        <w:t xml:space="preserve"> </w:t>
      </w:r>
      <w:r>
        <w:rPr>
          <w:rFonts w:ascii="Arial;sans-serif" w:hAnsi="Arial;sans-serif"/>
          <w:b w:val="false"/>
          <w:color w:val="000000"/>
          <w:sz w:val="20"/>
        </w:rPr>
        <w:t>which</w:t>
      </w:r>
      <w:r>
        <w:rPr>
          <w:color w:val="000000"/>
        </w:rPr>
        <w:t xml:space="preserve"> </w:t>
      </w:r>
      <w:r>
        <w:rPr>
          <w:rFonts w:ascii="Arial;sans-serif" w:hAnsi="Arial;sans-serif"/>
          <w:b w:val="false"/>
          <w:color w:val="000000"/>
          <w:sz w:val="20"/>
        </w:rPr>
        <w:t>led</w:t>
      </w:r>
      <w:r>
        <w:rPr>
          <w:color w:val="000000"/>
        </w:rPr>
        <w:t xml:space="preserve"> </w:t>
      </w:r>
      <w:r>
        <w:rPr>
          <w:rFonts w:ascii="Arial;sans-serif" w:hAnsi="Arial;sans-serif"/>
          <w:b w:val="false"/>
          <w:color w:val="000000"/>
          <w:sz w:val="20"/>
        </w:rPr>
        <w:t>the Company to</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goodwill</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impairment.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performed</w:t>
      </w:r>
      <w:r>
        <w:rPr>
          <w:color w:val="000000"/>
        </w:rPr>
        <w:t xml:space="preserve"> </w:t>
      </w:r>
      <w:r>
        <w:rPr>
          <w:rFonts w:ascii="Arial;sans-serif" w:hAnsi="Arial;sans-serif"/>
          <w:b w:val="false"/>
          <w:color w:val="000000"/>
          <w:sz w:val="20"/>
        </w:rPr>
        <w:t>using</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combination</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both an</w:t>
      </w:r>
      <w:r>
        <w:rPr>
          <w:color w:val="000000"/>
        </w:rPr>
        <w:t xml:space="preserve"> </w:t>
      </w:r>
      <w:r>
        <w:rPr>
          <w:rFonts w:ascii="Arial;sans-serif" w:hAnsi="Arial;sans-serif"/>
          <w:b w:val="false"/>
          <w:color w:val="000000"/>
          <w:sz w:val="20"/>
        </w:rPr>
        <w:t>income</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determine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goodwill.</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income</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utilized estimated</w:t>
      </w:r>
      <w:r>
        <w:rPr>
          <w:color w:val="000000"/>
        </w:rPr>
        <w:t xml:space="preserve"> </w:t>
      </w:r>
      <w:r>
        <w:rPr>
          <w:rFonts w:ascii="Arial;sans-serif" w:hAnsi="Arial;sans-serif"/>
          <w:b w:val="false"/>
          <w:color w:val="000000"/>
          <w:sz w:val="20"/>
        </w:rPr>
        <w:t>discounted</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flows,</w:t>
      </w:r>
      <w:r>
        <w:rPr>
          <w:color w:val="000000"/>
        </w:rPr>
        <w:t xml:space="preserve"> </w:t>
      </w:r>
      <w:r>
        <w:rPr>
          <w:rFonts w:ascii="Arial;sans-serif" w:hAnsi="Arial;sans-serif"/>
          <w:b w:val="false"/>
          <w:color w:val="000000"/>
          <w:sz w:val="20"/>
        </w:rPr>
        <w:t>while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utilized</w:t>
      </w:r>
      <w:r>
        <w:rPr>
          <w:color w:val="000000"/>
        </w:rPr>
        <w:t xml:space="preserve"> </w:t>
      </w:r>
      <w:r>
        <w:rPr>
          <w:rFonts w:ascii="Arial;sans-serif" w:hAnsi="Arial;sans-serif"/>
          <w:b w:val="false"/>
          <w:color w:val="000000"/>
          <w:sz w:val="20"/>
        </w:rPr>
        <w:t>comparable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information.</w:t>
      </w:r>
      <w:r>
        <w:rPr>
          <w:color w:val="000000"/>
        </w:rPr>
        <w:t xml:space="preserve"> </w:t>
      </w:r>
      <w:r>
        <w:rPr>
          <w:rFonts w:ascii="Arial;sans-serif" w:hAnsi="Arial;sans-serif"/>
          <w:b w:val="false"/>
          <w:color w:val="000000"/>
          <w:sz w:val="20"/>
        </w:rPr>
        <w:t>Estimates and</w:t>
      </w:r>
      <w:r>
        <w:rPr>
          <w:color w:val="000000"/>
        </w:rPr>
        <w:t xml:space="preserve"> </w:t>
      </w:r>
      <w:r>
        <w:rPr>
          <w:rFonts w:ascii="Arial;sans-serif" w:hAnsi="Arial;sans-serif"/>
          <w:b w:val="false"/>
          <w:color w:val="000000"/>
          <w:sz w:val="20"/>
        </w:rPr>
        <w:t>assumptions</w:t>
      </w:r>
      <w:r>
        <w:rPr>
          <w:color w:val="000000"/>
        </w:rPr>
        <w:t xml:space="preserve"> </w:t>
      </w:r>
      <w:r>
        <w:rPr>
          <w:rFonts w:ascii="Arial;sans-serif" w:hAnsi="Arial;sans-serif"/>
          <w:b w:val="false"/>
          <w:color w:val="000000"/>
          <w:sz w:val="20"/>
        </w:rPr>
        <w:t>used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income</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included</w:t>
      </w:r>
      <w:r>
        <w:rPr>
          <w:color w:val="000000"/>
        </w:rPr>
        <w:t xml:space="preserve"> </w:t>
      </w:r>
      <w:r>
        <w:rPr>
          <w:rFonts w:ascii="Arial;sans-serif" w:hAnsi="Arial;sans-serif"/>
          <w:b w:val="false"/>
          <w:color w:val="000000"/>
          <w:sz w:val="20"/>
        </w:rPr>
        <w:t>projected</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discount</w:t>
      </w:r>
      <w:r>
        <w:rPr>
          <w:color w:val="000000"/>
        </w:rPr>
        <w:t xml:space="preserve"> </w:t>
      </w:r>
      <w:r>
        <w:rPr>
          <w:rFonts w:ascii="Arial;sans-serif" w:hAnsi="Arial;sans-serif"/>
          <w:b w:val="false"/>
          <w:color w:val="000000"/>
          <w:sz w:val="20"/>
        </w:rPr>
        <w:t>rate</w:t>
      </w:r>
      <w:r>
        <w:rPr>
          <w:rFonts w:ascii="Arial;sans-serif" w:hAnsi="Arial;sans-serif"/>
          <w:b w:val="false"/>
          <w:color w:val="231F20"/>
          <w:sz w:val="20"/>
        </w:rPr>
        <w: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discount rate</w:t>
      </w:r>
      <w:r>
        <w:rPr>
          <w:color w:val="231F20"/>
        </w:rPr>
        <w:t xml:space="preserve"> </w:t>
      </w:r>
      <w:r>
        <w:rPr>
          <w:rFonts w:ascii="Arial;sans-serif" w:hAnsi="Arial;sans-serif"/>
          <w:b w:val="false"/>
          <w:color w:val="231F20"/>
          <w:sz w:val="20"/>
        </w:rPr>
        <w:t>selected</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time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goodwill</w:t>
      </w:r>
      <w:r>
        <w:rPr>
          <w:color w:val="231F20"/>
        </w:rPr>
        <w:t xml:space="preserve"> </w:t>
      </w:r>
      <w:r>
        <w:rPr>
          <w:rFonts w:ascii="Arial;sans-serif" w:hAnsi="Arial;sans-serif"/>
          <w:b w:val="false"/>
          <w:color w:val="231F20"/>
          <w:sz w:val="20"/>
        </w:rPr>
        <w:t>impairment</w:t>
      </w:r>
      <w:r>
        <w:rPr>
          <w:color w:val="231F20"/>
        </w:rPr>
        <w:t xml:space="preserve"> </w:t>
      </w:r>
      <w:r>
        <w:rPr>
          <w:rFonts w:ascii="Arial;sans-serif" w:hAnsi="Arial;sans-serif"/>
          <w:b w:val="false"/>
          <w:color w:val="231F20"/>
          <w:sz w:val="20"/>
        </w:rPr>
        <w:t>assessment</w:t>
      </w:r>
      <w:r>
        <w:rPr>
          <w:color w:val="231F20"/>
        </w:rPr>
        <w:t xml:space="preserve"> </w:t>
      </w:r>
      <w:r>
        <w:rPr>
          <w:rFonts w:ascii="Arial;sans-serif" w:hAnsi="Arial;sans-serif"/>
          <w:b w:val="false"/>
          <w:color w:val="231F20"/>
          <w:sz w:val="20"/>
        </w:rPr>
        <w:t>was</w:t>
      </w:r>
      <w:r>
        <w:rPr>
          <w:color w:val="231F20"/>
        </w:rPr>
        <w:t xml:space="preserve"> </w:t>
      </w:r>
      <w:r>
        <w:rPr>
          <w:rFonts w:ascii="Arial;sans-serif" w:hAnsi="Arial;sans-serif"/>
          <w:b w:val="false"/>
          <w:color w:val="000000"/>
          <w:sz w:val="20"/>
        </w:rPr>
        <w:t>24.0%</w:t>
      </w:r>
      <w:r>
        <w:rPr>
          <w:rFonts w:ascii="Arial;sans-serif" w:hAnsi="Arial;sans-serif"/>
          <w:b w:val="false"/>
          <w:color w:val="231F20"/>
          <w:sz w:val="20"/>
        </w:rPr>
        <w:t>.</w:t>
      </w:r>
      <w:r>
        <w:rPr>
          <w:color w:val="231F20"/>
        </w:rPr>
        <w:t xml:space="preserve"> </w:t>
      </w:r>
      <w:r>
        <w:rPr>
          <w:rFonts w:ascii="Arial;sans-serif" w:hAnsi="Arial;sans-serif"/>
          <w:b w:val="false"/>
          <w:color w:val="231F20"/>
          <w:sz w:val="20"/>
        </w:rPr>
        <w:t>The Company recognized</w:t>
      </w:r>
      <w:r>
        <w:rPr>
          <w:color w:val="231F20"/>
        </w:rPr>
        <w:t xml:space="preserve"> </w:t>
      </w:r>
      <w:r>
        <w:rPr>
          <w:rFonts w:ascii="Arial;sans-serif" w:hAnsi="Arial;sans-serif"/>
          <w:b w:val="false"/>
          <w:color w:val="231F20"/>
          <w:sz w:val="20"/>
        </w:rPr>
        <w:t>a goodwill impairment</w:t>
      </w:r>
      <w:r>
        <w:rPr>
          <w:color w:val="231F20"/>
        </w:rPr>
        <w:t xml:space="preserve"> </w:t>
      </w:r>
      <w:r>
        <w:rPr>
          <w:rFonts w:ascii="Arial;sans-serif" w:hAnsi="Arial;sans-serif"/>
          <w:b w:val="false"/>
          <w:color w:val="231F20"/>
          <w:sz w:val="20"/>
        </w:rPr>
        <w:t xml:space="preserve">of </w:t>
      </w:r>
      <w:r>
        <w:rPr>
          <w:rFonts w:ascii="Arial;sans-serif" w:hAnsi="Arial;sans-serif"/>
          <w:b w:val="false"/>
          <w:color w:val="000000"/>
          <w:sz w:val="20"/>
        </w:rPr>
        <w:t>$608.5</w:t>
      </w:r>
      <w:r>
        <w:rPr>
          <w:color w:val="231F20"/>
        </w:rPr>
        <w:t xml:space="preserve"> </w:t>
      </w:r>
      <w:r>
        <w:rPr>
          <w:rFonts w:ascii="Arial;sans-serif" w:hAnsi="Arial;sans-serif"/>
          <w:b w:val="false"/>
          <w:color w:val="231F20"/>
          <w:sz w:val="20"/>
        </w:rPr>
        <w:t>as a result</w:t>
      </w:r>
      <w:r>
        <w:rPr>
          <w:color w:val="231F20"/>
        </w:rPr>
        <w:t xml:space="preserve"> </w:t>
      </w:r>
      <w:r>
        <w:rPr>
          <w:rFonts w:ascii="Arial;sans-serif" w:hAnsi="Arial;sans-serif"/>
          <w:b w:val="false"/>
          <w:color w:val="231F20"/>
          <w:sz w:val="20"/>
        </w:rPr>
        <w:t>of the impairment assessment,</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due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changes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expected</w:t>
      </w:r>
      <w:r>
        <w:rPr>
          <w:color w:val="231F20"/>
        </w:rPr>
        <w:t xml:space="preserve"> </w:t>
      </w:r>
      <w:r>
        <w:rPr>
          <w:rFonts w:ascii="Arial;sans-serif" w:hAnsi="Arial;sans-serif"/>
          <w:b w:val="false"/>
          <w:color w:val="231F20"/>
          <w:sz w:val="20"/>
        </w:rPr>
        <w:t>timing</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revenue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higher</w:t>
      </w:r>
      <w:r>
        <w:rPr>
          <w:color w:val="231F20"/>
        </w:rPr>
        <w:t xml:space="preserve"> </w:t>
      </w:r>
      <w:r>
        <w:rPr>
          <w:rFonts w:ascii="Arial;sans-serif" w:hAnsi="Arial;sans-serif"/>
          <w:b w:val="false"/>
          <w:color w:val="231F20"/>
          <w:sz w:val="20"/>
        </w:rPr>
        <w:t>discount</w:t>
      </w:r>
      <w:r>
        <w:rPr>
          <w:color w:val="231F20"/>
        </w:rPr>
        <w:t xml:space="preserve"> </w:t>
      </w:r>
      <w:r>
        <w:rPr>
          <w:rFonts w:ascii="Arial;sans-serif" w:hAnsi="Arial;sans-serif"/>
          <w:b w:val="false"/>
          <w:color w:val="231F20"/>
          <w:sz w:val="20"/>
        </w:rPr>
        <w:t>rate</w:t>
      </w:r>
      <w:r>
        <w:rPr>
          <w:color w:val="231F20"/>
        </w:rPr>
        <w:t xml:space="preserve"> </w:t>
      </w:r>
      <w:r>
        <w:rPr>
          <w:rFonts w:ascii="Arial;sans-serif" w:hAnsi="Arial;sans-serif"/>
          <w:b w:val="false"/>
          <w:color w:val="231F20"/>
          <w:sz w:val="20"/>
        </w:rPr>
        <w:t>selected</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 fair</w:t>
      </w:r>
      <w:r>
        <w:rPr>
          <w:color w:val="231F20"/>
        </w:rPr>
        <w:t xml:space="preserve"> </w:t>
      </w:r>
      <w:r>
        <w:rPr>
          <w:rFonts w:ascii="Arial;sans-serif" w:hAnsi="Arial;sans-serif"/>
          <w:b w:val="false"/>
          <w:color w:val="231F20"/>
          <w:sz w:val="20"/>
        </w:rPr>
        <w:t>value</w:t>
      </w:r>
      <w:r>
        <w:rPr>
          <w:color w:val="231F20"/>
        </w:rPr>
        <w:t xml:space="preserve"> </w:t>
      </w:r>
      <w:r>
        <w:rPr>
          <w:rFonts w:ascii="Arial;sans-serif" w:hAnsi="Arial;sans-serif"/>
          <w:b w:val="false"/>
          <w:color w:val="231F20"/>
          <w:sz w:val="20"/>
        </w:rPr>
        <w:t>calculation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GRAIL.</w:t>
      </w:r>
    </w:p>
    <w:p>
      <w:pPr>
        <w:pStyle w:val="TextBody"/>
        <w:bidi w:val="0"/>
        <w:spacing w:lineRule="auto" w:line="288" w:before="240" w:after="283"/>
        <w:jc w:val="left"/>
        <w:rPr/>
      </w:pPr>
      <w:r>
        <w:rPr>
          <w:rFonts w:ascii="Arial;sans-serif" w:hAnsi="Arial;sans-serif"/>
          <w:b w:val="false"/>
          <w:i/>
          <w:color w:val="000000"/>
          <w:sz w:val="20"/>
        </w:rPr>
        <w:t>2024</w:t>
      </w:r>
      <w:r>
        <w:rPr>
          <w:color w:val="231F20"/>
        </w:rPr>
        <w:t xml:space="preserve"> </w:t>
      </w:r>
      <w:r>
        <w:rPr>
          <w:rFonts w:ascii="Arial;sans-serif" w:hAnsi="Arial;sans-serif"/>
          <w:b w:val="false"/>
          <w:i/>
          <w:color w:val="231F20"/>
          <w:sz w:val="20"/>
        </w:rPr>
        <w:t>Goodwill Impairment</w:t>
      </w:r>
    </w:p>
    <w:p>
      <w:pPr>
        <w:pStyle w:val="TextBody"/>
        <w:bidi w:val="0"/>
        <w:spacing w:lineRule="auto" w:line="288" w:before="240" w:after="283"/>
        <w:ind w:left="0" w:right="0" w:firstLine="450"/>
        <w:jc w:val="left"/>
        <w:rPr/>
      </w:pPr>
      <w:r>
        <w:rPr>
          <w:rFonts w:ascii="Arial;sans-serif" w:hAnsi="Arial;sans-serif"/>
          <w:b w:val="false"/>
          <w:color w:val="000000"/>
          <w:sz w:val="20"/>
        </w:rPr>
        <w:t>In Q2 2024, prior to the Spin-Off, the approval of the Spin-Off by Illumina’s board of directors represented a potential indicator of impairment, which also aligned with the timing of Illumina’s annual goodwill impairment test date for 2024. The</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performed</w:t>
      </w:r>
      <w:r>
        <w:rPr>
          <w:color w:val="000000"/>
        </w:rPr>
        <w:t xml:space="preserve"> </w:t>
      </w:r>
      <w:r>
        <w:rPr>
          <w:rFonts w:ascii="Arial;sans-serif" w:hAnsi="Arial;sans-serif"/>
          <w:b w:val="false"/>
          <w:color w:val="000000"/>
          <w:sz w:val="20"/>
        </w:rPr>
        <w:t>using</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determine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goodwill which</w:t>
      </w:r>
      <w:r>
        <w:rPr>
          <w:color w:val="000000"/>
        </w:rPr>
        <w:t xml:space="preserve"> </w:t>
      </w:r>
      <w:r>
        <w:rPr>
          <w:rFonts w:ascii="Arial;sans-serif" w:hAnsi="Arial;sans-serif"/>
          <w:b w:val="false"/>
          <w:color w:val="000000"/>
          <w:sz w:val="20"/>
        </w:rPr>
        <w:t>utilized</w:t>
      </w:r>
      <w:r>
        <w:rPr>
          <w:color w:val="000000"/>
        </w:rPr>
        <w:t xml:space="preserve"> </w:t>
      </w:r>
      <w:r>
        <w:rPr>
          <w:rFonts w:ascii="Arial;sans-serif" w:hAnsi="Arial;sans-serif"/>
          <w:b w:val="false"/>
          <w:color w:val="000000"/>
          <w:sz w:val="20"/>
        </w:rPr>
        <w:t>the valuation ranges prepared by the divestment financial advisors engaged by Illumina in connection with the Spin-Off.</w:t>
      </w:r>
      <w:r>
        <w:rPr>
          <w:color w:val="000000"/>
        </w:rPr>
        <w:t xml:space="preserve"> </w:t>
      </w:r>
      <w:r>
        <w:rPr>
          <w:rFonts w:ascii="Arial;sans-serif" w:hAnsi="Arial;sans-serif"/>
          <w:b w:val="false"/>
          <w:color w:val="000000"/>
          <w:sz w:val="20"/>
        </w:rPr>
        <w:t xml:space="preserve">The valuation ranges were determined using revenue multiples from public company peers for 2024 </w:t>
      </w:r>
      <w:r>
        <w:rPr>
          <w:rFonts w:ascii="Arial;sans-serif" w:hAnsi="Arial;sans-serif"/>
          <w:b w:val="false"/>
          <w:color w:val="000000"/>
          <w:sz w:val="20"/>
          <w:shd w:fill="FFFFFF" w:val="clear"/>
        </w:rPr>
        <w:t>and 2025.</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implied discount rate</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goodwill</w:t>
      </w:r>
      <w:r>
        <w:rPr>
          <w:color w:val="000000"/>
        </w:rPr>
        <w:t xml:space="preserve"> </w:t>
      </w:r>
      <w:r>
        <w:rPr>
          <w:rFonts w:ascii="Arial;sans-serif" w:hAnsi="Arial;sans-serif"/>
          <w:b w:val="false"/>
          <w:color w:val="000000"/>
          <w:sz w:val="20"/>
        </w:rPr>
        <w:t>impairment</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51.5%.</w:t>
      </w:r>
      <w:r>
        <w:rPr>
          <w:color w:val="000000"/>
        </w:rPr>
        <w:t xml:space="preserve"> </w:t>
      </w:r>
      <w:r>
        <w:rPr>
          <w:rFonts w:ascii="Arial;sans-serif" w:hAnsi="Arial;sans-serif"/>
          <w:b w:val="false"/>
          <w:color w:val="000000"/>
          <w:sz w:val="20"/>
        </w:rPr>
        <w:t>The Company recognized</w:t>
      </w:r>
      <w:r>
        <w:rPr>
          <w:color w:val="000000"/>
        </w:rPr>
        <w:t xml:space="preserve"> </w:t>
      </w:r>
      <w:r>
        <w:rPr>
          <w:rFonts w:ascii="Arial;sans-serif" w:hAnsi="Arial;sans-serif"/>
          <w:b w:val="false"/>
          <w:color w:val="000000"/>
          <w:sz w:val="20"/>
        </w:rPr>
        <w:t>a goodwill impairment</w:t>
      </w:r>
      <w:r>
        <w:rPr>
          <w:color w:val="000000"/>
        </w:rPr>
        <w:t xml:space="preserve"> </w:t>
      </w:r>
      <w:r>
        <w:rPr>
          <w:rFonts w:ascii="Arial;sans-serif" w:hAnsi="Arial;sans-serif"/>
          <w:b w:val="false"/>
          <w:color w:val="000000"/>
          <w:sz w:val="20"/>
        </w:rPr>
        <w:t>of $888.9</w:t>
      </w:r>
      <w:r>
        <w:rPr>
          <w:color w:val="000000"/>
        </w:rPr>
        <w:t xml:space="preserve"> </w:t>
      </w:r>
      <w:r>
        <w:rPr>
          <w:rFonts w:ascii="Arial;sans-serif" w:hAnsi="Arial;sans-serif"/>
          <w:b w:val="false"/>
          <w:color w:val="000000"/>
          <w:sz w:val="20"/>
        </w:rPr>
        <w:t>as a result</w:t>
      </w:r>
      <w:r>
        <w:rPr>
          <w:color w:val="000000"/>
        </w:rPr>
        <w:t xml:space="preserve"> </w:t>
      </w:r>
      <w:r>
        <w:rPr>
          <w:rFonts w:ascii="Arial;sans-serif" w:hAnsi="Arial;sans-serif"/>
          <w:b w:val="false"/>
          <w:color w:val="000000"/>
          <w:sz w:val="20"/>
        </w:rPr>
        <w:t>of the impairment assessment,</w:t>
      </w:r>
      <w:r>
        <w:rPr>
          <w:color w:val="000000"/>
        </w:rPr>
        <w:t xml:space="preserve"> </w:t>
      </w:r>
      <w:r>
        <w:rPr>
          <w:rFonts w:ascii="Arial;sans-serif" w:hAnsi="Arial;sans-serif"/>
          <w:b w:val="false"/>
          <w:color w:val="000000"/>
          <w:sz w:val="20"/>
        </w:rPr>
        <w:t>primarily</w:t>
      </w:r>
      <w:r>
        <w:rPr>
          <w:color w:val="000000"/>
        </w:rPr>
        <w:t xml:space="preserve"> </w:t>
      </w:r>
      <w:r>
        <w:rPr>
          <w:rFonts w:ascii="Arial;sans-serif" w:hAnsi="Arial;sans-serif"/>
          <w:b w:val="false"/>
          <w:color w:val="000000"/>
          <w:sz w:val="20"/>
        </w:rPr>
        <w:t>due</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changes</w:t>
      </w:r>
      <w:r>
        <w:rPr>
          <w:color w:val="000000"/>
        </w:rPr>
        <w:t xml:space="preserve"> </w:t>
      </w:r>
      <w:r>
        <w:rPr>
          <w:rFonts w:ascii="Arial;sans-serif" w:hAnsi="Arial;sans-serif"/>
          <w:b w:val="false"/>
          <w:color w:val="000000"/>
          <w:sz w:val="20"/>
        </w:rPr>
        <w:t>to</w:t>
      </w:r>
      <w:r>
        <w:rPr>
          <w:color w:val="000000"/>
        </w:rPr>
        <w:t xml:space="preserve"> </w:t>
      </w:r>
      <w:r>
        <w:rPr>
          <w:rFonts w:ascii="Arial;sans-serif" w:hAnsi="Arial;sans-serif"/>
          <w:b w:val="false"/>
          <w:color w:val="000000"/>
          <w:sz w:val="20"/>
        </w:rPr>
        <w:t>the forecast of GRAIL’s value and the method for valuing GRAIL.</w:t>
      </w:r>
    </w:p>
    <w:p>
      <w:pPr>
        <w:pStyle w:val="TextBody"/>
        <w:bidi w:val="0"/>
        <w:spacing w:lineRule="auto" w:line="288" w:before="240" w:after="283"/>
        <w:ind w:left="0" w:right="0" w:firstLine="450"/>
        <w:jc w:val="left"/>
        <w:rPr/>
      </w:pPr>
      <w:r>
        <w:rPr>
          <w:rFonts w:ascii="Arial;sans-serif" w:hAnsi="Arial;sans-serif"/>
          <w:b w:val="false"/>
          <w:color w:val="000000"/>
          <w:sz w:val="20"/>
        </w:rPr>
        <w:t>These</w:t>
      </w:r>
      <w:r>
        <w:rPr>
          <w:color w:val="000000"/>
        </w:rPr>
        <w:t xml:space="preserve"> </w:t>
      </w:r>
      <w:r>
        <w:rPr>
          <w:rFonts w:ascii="Arial;sans-serif" w:hAnsi="Arial;sans-serif"/>
          <w:b w:val="false"/>
          <w:color w:val="000000"/>
          <w:sz w:val="20"/>
        </w:rPr>
        <w:t>estimates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assumptions in each of the evaluations described above represent</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Level</w:t>
      </w:r>
      <w:r>
        <w:rPr>
          <w:color w:val="000000"/>
        </w:rPr>
        <w:t xml:space="preserve"> </w:t>
      </w: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measurement</w:t>
      </w:r>
      <w:r>
        <w:rPr>
          <w:color w:val="000000"/>
        </w:rPr>
        <w:t xml:space="preserve"> </w:t>
      </w:r>
      <w:r>
        <w:rPr>
          <w:rFonts w:ascii="Arial;sans-serif" w:hAnsi="Arial;sans-serif"/>
          <w:b w:val="false"/>
          <w:color w:val="000000"/>
          <w:sz w:val="20"/>
        </w:rPr>
        <w:t>because</w:t>
      </w:r>
      <w:r>
        <w:rPr>
          <w:color w:val="000000"/>
        </w:rPr>
        <w:t xml:space="preserve"> </w:t>
      </w:r>
      <w:r>
        <w:rPr>
          <w:rFonts w:ascii="Arial;sans-serif" w:hAnsi="Arial;sans-serif"/>
          <w:b w:val="false"/>
          <w:color w:val="000000"/>
          <w:sz w:val="20"/>
        </w:rPr>
        <w:t>they</w:t>
      </w:r>
      <w:r>
        <w:rPr>
          <w:color w:val="000000"/>
        </w:rPr>
        <w:t xml:space="preserve"> </w:t>
      </w:r>
      <w:r>
        <w:rPr>
          <w:rFonts w:ascii="Arial;sans-serif" w:hAnsi="Arial;sans-serif"/>
          <w:b w:val="false"/>
          <w:color w:val="000000"/>
          <w:sz w:val="20"/>
        </w:rPr>
        <w:t>include</w:t>
      </w:r>
      <w:r>
        <w:rPr>
          <w:color w:val="000000"/>
        </w:rPr>
        <w:t xml:space="preserve"> </w:t>
      </w:r>
      <w:r>
        <w:rPr>
          <w:rFonts w:ascii="Arial;sans-serif" w:hAnsi="Arial;sans-serif"/>
          <w:b w:val="false"/>
          <w:color w:val="000000"/>
          <w:sz w:val="20"/>
        </w:rPr>
        <w:t>unobservable</w:t>
      </w:r>
      <w:r>
        <w:rPr>
          <w:color w:val="000000"/>
        </w:rPr>
        <w:t xml:space="preserve"> </w:t>
      </w:r>
      <w:r>
        <w:rPr>
          <w:rFonts w:ascii="Arial;sans-serif" w:hAnsi="Arial;sans-serif"/>
          <w:b w:val="false"/>
          <w:color w:val="000000"/>
          <w:sz w:val="20"/>
        </w:rPr>
        <w:t>inputs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supported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little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no market</w:t>
      </w:r>
      <w:r>
        <w:rPr>
          <w:color w:val="000000"/>
        </w:rPr>
        <w:t xml:space="preserve"> </w:t>
      </w:r>
      <w:r>
        <w:rPr>
          <w:rFonts w:ascii="Arial;sans-serif" w:hAnsi="Arial;sans-serif"/>
          <w:b w:val="false"/>
          <w:color w:val="000000"/>
          <w:sz w:val="20"/>
        </w:rPr>
        <w:t>activity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reflect</w:t>
      </w:r>
      <w:r>
        <w:rPr>
          <w:color w:val="000000"/>
        </w:rPr>
        <w:t xml:space="preserve"> </w:t>
      </w:r>
      <w:r>
        <w:rPr>
          <w:rFonts w:ascii="Arial;sans-serif" w:hAnsi="Arial;sans-serif"/>
          <w:b w:val="false"/>
          <w:color w:val="000000"/>
          <w:sz w:val="20"/>
        </w:rPr>
        <w:t>Company-determined</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judgmental</w:t>
      </w:r>
      <w:r>
        <w:rPr>
          <w:color w:val="000000"/>
        </w:rPr>
        <w:t xml:space="preserve"> </w:t>
      </w:r>
      <w:r>
        <w:rPr>
          <w:rFonts w:ascii="Arial;sans-serif" w:hAnsi="Arial;sans-serif"/>
          <w:b w:val="false"/>
          <w:color w:val="000000"/>
          <w:sz w:val="20"/>
        </w:rPr>
        <w:t>factors</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these</w:t>
      </w:r>
      <w:r>
        <w:rPr>
          <w:color w:val="000000"/>
        </w:rPr>
        <w:t xml:space="preserve"> </w:t>
      </w:r>
      <w:r>
        <w:rPr>
          <w:rFonts w:ascii="Arial;sans-serif" w:hAnsi="Arial;sans-serif"/>
          <w:b w:val="false"/>
          <w:color w:val="000000"/>
          <w:sz w:val="20"/>
        </w:rPr>
        <w:t>assumptions</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measuring</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The assumptions</w:t>
      </w:r>
      <w:r>
        <w:rPr>
          <w:color w:val="000000"/>
        </w:rPr>
        <w:t xml:space="preserve"> </w:t>
      </w:r>
      <w:r>
        <w:rPr>
          <w:rFonts w:ascii="Arial;sans-serif" w:hAnsi="Arial;sans-serif"/>
          <w:b w:val="false"/>
          <w:color w:val="000000"/>
          <w:sz w:val="20"/>
        </w:rPr>
        <w:t>in the</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of an impairment</w:t>
      </w:r>
      <w:r>
        <w:rPr>
          <w:color w:val="000000"/>
        </w:rPr>
        <w:t xml:space="preserve"> </w:t>
      </w:r>
      <w:r>
        <w:rPr>
          <w:rFonts w:ascii="Arial;sans-serif" w:hAnsi="Arial;sans-serif"/>
          <w:b w:val="false"/>
          <w:color w:val="000000"/>
          <w:sz w:val="20"/>
        </w:rPr>
        <w:t>analysis</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inherently</w:t>
      </w:r>
      <w:r>
        <w:rPr>
          <w:color w:val="000000"/>
        </w:rPr>
        <w:t xml:space="preserve"> </w:t>
      </w:r>
      <w:r>
        <w:rPr>
          <w:rFonts w:ascii="Arial;sans-serif" w:hAnsi="Arial;sans-serif"/>
          <w:b w:val="false"/>
          <w:color w:val="000000"/>
          <w:sz w:val="20"/>
        </w:rPr>
        <w:t>subjective</w:t>
      </w:r>
      <w:r>
        <w:rPr>
          <w:color w:val="000000"/>
        </w:rPr>
        <w:t xml:space="preserve"> </w:t>
      </w:r>
      <w:r>
        <w:rPr>
          <w:rFonts w:ascii="Arial;sans-serif" w:hAnsi="Arial;sans-serif"/>
          <w:b w:val="false"/>
          <w:color w:val="000000"/>
          <w:sz w:val="20"/>
        </w:rPr>
        <w:t>due to uncertainty</w:t>
      </w:r>
      <w:r>
        <w:rPr>
          <w:color w:val="000000"/>
        </w:rPr>
        <w:t xml:space="preserve"> </w:t>
      </w:r>
      <w:r>
        <w:rPr>
          <w:rFonts w:ascii="Arial;sans-serif" w:hAnsi="Arial;sans-serif"/>
          <w:b w:val="false"/>
          <w:color w:val="000000"/>
          <w:sz w:val="20"/>
        </w:rPr>
        <w:t>and any slight</w:t>
      </w:r>
      <w:r>
        <w:rPr>
          <w:color w:val="000000"/>
        </w:rPr>
        <w:t xml:space="preserve"> </w:t>
      </w:r>
      <w:r>
        <w:rPr>
          <w:rFonts w:ascii="Arial;sans-serif" w:hAnsi="Arial;sans-serif"/>
          <w:b w:val="false"/>
          <w:color w:val="000000"/>
          <w:sz w:val="20"/>
        </w:rPr>
        <w:t>changes in these rates</w:t>
      </w:r>
      <w:r>
        <w:rPr>
          <w:color w:val="000000"/>
        </w:rPr>
        <w:t xml:space="preserve"> </w:t>
      </w:r>
      <w:r>
        <w:rPr>
          <w:rFonts w:ascii="Arial;sans-serif" w:hAnsi="Arial;sans-serif"/>
          <w:b w:val="false"/>
          <w:color w:val="000000"/>
          <w:sz w:val="20"/>
        </w:rPr>
        <w:t>and assumptions</w:t>
      </w:r>
      <w:r>
        <w:rPr>
          <w:color w:val="000000"/>
        </w:rPr>
        <w:t xml:space="preserve"> </w:t>
      </w:r>
      <w:r>
        <w:rPr>
          <w:rFonts w:ascii="Arial;sans-serif" w:hAnsi="Arial;sans-serif"/>
          <w:b w:val="false"/>
          <w:color w:val="000000"/>
          <w:sz w:val="20"/>
        </w:rPr>
        <w:t>could have a significant</w:t>
      </w:r>
      <w:r>
        <w:rPr>
          <w:color w:val="000000"/>
        </w:rPr>
        <w:t xml:space="preserve"> </w:t>
      </w:r>
      <w:r>
        <w:rPr>
          <w:rFonts w:ascii="Arial;sans-serif" w:hAnsi="Arial;sans-serif"/>
          <w:b w:val="false"/>
          <w:color w:val="000000"/>
          <w:sz w:val="20"/>
        </w:rPr>
        <w:t>impact</w:t>
      </w:r>
      <w:r>
        <w:rPr>
          <w:color w:val="000000"/>
        </w:rPr>
        <w:t xml:space="preserve"> </w:t>
      </w:r>
      <w:r>
        <w:rPr>
          <w:rFonts w:ascii="Arial;sans-serif" w:hAnsi="Arial;sans-serif"/>
          <w:b w:val="false"/>
          <w:color w:val="000000"/>
          <w:sz w:val="20"/>
        </w:rPr>
        <w:t>on the concluded</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 xml:space="preserve">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83845"/>
                <wp:effectExtent l="0" t="0" r="0" b="0"/>
                <wp:wrapNone/>
                <wp:docPr id="186" name="Frame17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Intangible assets identified </w:t>
      </w:r>
      <w:r>
        <w:rPr>
          <w:rFonts w:ascii="Arial;sans-serif" w:hAnsi="Arial;sans-serif"/>
          <w:b w:val="false"/>
          <w:color w:val="000000"/>
          <w:sz w:val="20"/>
        </w:rPr>
        <w:t>in connection with Illumina’s acquisition of the Company</w:t>
      </w:r>
      <w:r>
        <w:rPr>
          <w:color w:val="231F20"/>
        </w:rPr>
        <w:t xml:space="preserve"> </w:t>
      </w:r>
      <w:r>
        <w:rPr>
          <w:rFonts w:ascii="Arial;sans-serif" w:hAnsi="Arial;sans-serif"/>
          <w:b w:val="false"/>
          <w:color w:val="231F20"/>
          <w:sz w:val="20"/>
        </w:rPr>
        <w:t>include developed technology, trade names and IPR&amp;D and were measured at fair value as of the Closing Date.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roll-forward indicates the fair values assigned to finite-lived intangible assets and the resulting amortization:</w:t>
      </w:r>
    </w:p>
    <w:tbl>
      <w:tblPr>
        <w:tblW w:w="10417" w:type="dxa"/>
        <w:jc w:val="left"/>
        <w:tblInd w:w="0" w:type="dxa"/>
        <w:tblLayout w:type="fixed"/>
        <w:tblCellMar>
          <w:top w:w="28" w:type="dxa"/>
          <w:left w:w="28" w:type="dxa"/>
          <w:bottom w:w="28" w:type="dxa"/>
          <w:right w:w="28" w:type="dxa"/>
        </w:tblCellMar>
      </w:tblPr>
      <w:tblGrid>
        <w:gridCol w:w="445"/>
        <w:gridCol w:w="391"/>
        <w:gridCol w:w="395"/>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As of</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Intangible Assets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Developed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(599,444)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1,850,556 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(461,110)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1,988,890 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roll-forward indicates the carrying value of the indefinite-lived intangible asset from the Acquisition and the impairment expenses recorded:</w:t>
      </w:r>
    </w:p>
    <w:tbl>
      <w:tblPr>
        <w:tblW w:w="4086" w:type="dxa"/>
        <w:jc w:val="left"/>
        <w:tblInd w:w="0" w:type="dxa"/>
        <w:tblLayout w:type="fixed"/>
        <w:tblCellMar>
          <w:top w:w="28" w:type="dxa"/>
          <w:left w:w="28" w:type="dxa"/>
          <w:bottom w:w="28" w:type="dxa"/>
          <w:right w:w="28" w:type="dxa"/>
        </w:tblCellMar>
      </w:tblPr>
      <w:tblGrid>
        <w:gridCol w:w="1049"/>
        <w:gridCol w:w="921"/>
        <w:gridCol w:w="925"/>
        <w:gridCol w:w="211"/>
        <w:gridCol w:w="82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IPR&amp;D</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December 31,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December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conjunction with the Q3 2023 goodwill impairment assessment described above, the Company also evaluated the IPR&amp;D intangible asset for potential impairment.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19.0%. 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w:t>
      </w:r>
    </w:p>
    <w:p>
      <w:pPr>
        <w:pStyle w:val="TextBody"/>
        <w:bidi w:val="0"/>
        <w:spacing w:lineRule="auto" w:line="288" w:before="240" w:after="283"/>
        <w:ind w:left="0" w:right="0" w:firstLine="450"/>
        <w:jc w:val="left"/>
        <w:rPr/>
      </w:pPr>
      <w:r>
        <w:rPr>
          <w:rFonts w:ascii="Arial;sans-serif" w:hAnsi="Arial;sans-serif"/>
          <w:b w:val="false"/>
          <w:color w:val="000000"/>
          <w:sz w:val="20"/>
        </w:rPr>
        <w:t>In conjunction</w:t>
      </w:r>
      <w:r>
        <w:rPr>
          <w:color w:val="000000"/>
        </w:rPr>
        <w:t xml:space="preserve"> </w:t>
      </w:r>
      <w:r>
        <w:rPr>
          <w:rFonts w:ascii="Arial;sans-serif" w:hAnsi="Arial;sans-serif"/>
          <w:b w:val="false"/>
          <w:color w:val="000000"/>
          <w:sz w:val="20"/>
        </w:rPr>
        <w:t>with Illumina’s Q2 2024 goodwill impairment</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the IPR&amp;D intangible</w:t>
      </w:r>
      <w:r>
        <w:rPr>
          <w:color w:val="000000"/>
        </w:rPr>
        <w:t xml:space="preserve"> </w:t>
      </w:r>
      <w:r>
        <w:rPr>
          <w:rFonts w:ascii="Arial;sans-serif" w:hAnsi="Arial;sans-serif"/>
          <w:b w:val="false"/>
          <w:color w:val="000000"/>
          <w:sz w:val="20"/>
        </w:rPr>
        <w:t>asset of the GRAIL reporting unit was evaluated for</w:t>
      </w:r>
      <w:r>
        <w:rPr>
          <w:color w:val="000000"/>
        </w:rPr>
        <w:t xml:space="preserve"> </w:t>
      </w:r>
      <w:r>
        <w:rPr>
          <w:rFonts w:ascii="Arial;sans-serif" w:hAnsi="Arial;sans-serif"/>
          <w:b w:val="false"/>
          <w:color w:val="000000"/>
          <w:sz w:val="20"/>
        </w:rPr>
        <w:t>potential</w:t>
      </w:r>
      <w:r>
        <w:rPr>
          <w:color w:val="000000"/>
        </w:rPr>
        <w:t xml:space="preserve"> </w:t>
      </w:r>
      <w:r>
        <w:rPr>
          <w:rFonts w:ascii="Arial;sans-serif" w:hAnsi="Arial;sans-serif"/>
          <w:b w:val="false"/>
          <w:color w:val="000000"/>
          <w:sz w:val="20"/>
        </w:rPr>
        <w:t>impairment by Illumina prior to the Spin-Off.</w:t>
      </w:r>
      <w:r>
        <w:rPr>
          <w:color w:val="000000"/>
        </w:rPr>
        <w:t xml:space="preserve"> </w:t>
      </w:r>
      <w:r>
        <w:rPr>
          <w:rFonts w:ascii="Arial;sans-serif" w:hAnsi="Arial;sans-serif"/>
          <w:b w:val="false"/>
          <w:color w:val="000000"/>
          <w:sz w:val="20"/>
        </w:rPr>
        <w:t>The evaluation</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a potential</w:t>
      </w:r>
      <w:r>
        <w:rPr>
          <w:color w:val="000000"/>
        </w:rPr>
        <w:t xml:space="preserve"> </w:t>
      </w:r>
      <w:r>
        <w:rPr>
          <w:rFonts w:ascii="Arial;sans-serif" w:hAnsi="Arial;sans-serif"/>
          <w:b w:val="false"/>
          <w:color w:val="000000"/>
          <w:sz w:val="20"/>
        </w:rPr>
        <w:t>impairment</w:t>
      </w:r>
      <w:r>
        <w:rPr>
          <w:color w:val="000000"/>
        </w:rPr>
        <w:t xml:space="preserve"> </w:t>
      </w:r>
      <w:r>
        <w:rPr>
          <w:rFonts w:ascii="Arial;sans-serif" w:hAnsi="Arial;sans-serif"/>
          <w:b w:val="false"/>
          <w:color w:val="000000"/>
          <w:sz w:val="20"/>
        </w:rPr>
        <w:t>of the</w:t>
      </w:r>
      <w:r>
        <w:rPr>
          <w:color w:val="000000"/>
        </w:rPr>
        <w:t xml:space="preserve"> </w:t>
      </w:r>
      <w:r>
        <w:rPr>
          <w:rFonts w:ascii="Arial;sans-serif" w:hAnsi="Arial;sans-serif"/>
          <w:b w:val="false"/>
          <w:color w:val="000000"/>
          <w:sz w:val="20"/>
        </w:rPr>
        <w:t>IPR&amp;D intangible</w:t>
      </w:r>
      <w:r>
        <w:rPr>
          <w:color w:val="000000"/>
        </w:rPr>
        <w:t xml:space="preserve"> </w:t>
      </w:r>
      <w:r>
        <w:rPr>
          <w:rFonts w:ascii="Arial;sans-serif" w:hAnsi="Arial;sans-serif"/>
          <w:b w:val="false"/>
          <w:color w:val="000000"/>
          <w:sz w:val="20"/>
        </w:rPr>
        <w:t>asset</w:t>
      </w:r>
      <w:r>
        <w:rPr>
          <w:color w:val="000000"/>
        </w:rPr>
        <w:t xml:space="preserve"> </w:t>
      </w:r>
      <w:r>
        <w:rPr>
          <w:rFonts w:ascii="Arial;sans-serif" w:hAnsi="Arial;sans-serif"/>
          <w:b w:val="false"/>
          <w:color w:val="000000"/>
          <w:sz w:val="20"/>
        </w:rPr>
        <w:t>was performed by comparing</w:t>
      </w:r>
      <w:r>
        <w:rPr>
          <w:color w:val="000000"/>
        </w:rPr>
        <w:t xml:space="preserve"> </w:t>
      </w:r>
      <w:r>
        <w:rPr>
          <w:rFonts w:ascii="Arial;sans-serif" w:hAnsi="Arial;sans-serif"/>
          <w:b w:val="false"/>
          <w:color w:val="000000"/>
          <w:sz w:val="20"/>
        </w:rPr>
        <w:t>its carrying</w:t>
      </w:r>
      <w:r>
        <w:rPr>
          <w:color w:val="000000"/>
        </w:rPr>
        <w:t xml:space="preserve"> </w:t>
      </w:r>
      <w:r>
        <w:rPr>
          <w:rFonts w:ascii="Arial;sans-serif" w:hAnsi="Arial;sans-serif"/>
          <w:b w:val="false"/>
          <w:color w:val="000000"/>
          <w:sz w:val="20"/>
        </w:rPr>
        <w:t>value to the assessed</w:t>
      </w:r>
      <w:r>
        <w:rPr>
          <w:color w:val="000000"/>
        </w:rPr>
        <w:t xml:space="preserve"> </w:t>
      </w:r>
      <w:r>
        <w:rPr>
          <w:rFonts w:ascii="Arial;sans-serif" w:hAnsi="Arial;sans-serif"/>
          <w:b w:val="false"/>
          <w:color w:val="000000"/>
          <w:sz w:val="20"/>
        </w:rPr>
        <w:t>estimated</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 which was determined</w:t>
      </w:r>
      <w:r>
        <w:rPr>
          <w:color w:val="000000"/>
        </w:rPr>
        <w:t xml:space="preserve"> </w:t>
      </w:r>
      <w:r>
        <w:rPr>
          <w:rFonts w:ascii="Arial;sans-serif" w:hAnsi="Arial;sans-serif"/>
          <w:b w:val="false"/>
          <w:color w:val="000000"/>
          <w:sz w:val="20"/>
        </w:rPr>
        <w:t>by the income approach,</w:t>
      </w:r>
      <w:r>
        <w:rPr>
          <w:color w:val="000000"/>
        </w:rPr>
        <w:t xml:space="preserve"> </w:t>
      </w:r>
      <w:r>
        <w:rPr>
          <w:rFonts w:ascii="Arial;sans-serif" w:hAnsi="Arial;sans-serif"/>
          <w:b w:val="false"/>
          <w:color w:val="000000"/>
          <w:sz w:val="20"/>
        </w:rPr>
        <w:t>using</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discounted</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w:t>
      </w:r>
      <w:r>
        <w:rPr>
          <w:color w:val="000000"/>
        </w:rPr>
        <w:t xml:space="preserve"> </w:t>
      </w:r>
      <w:r>
        <w:rPr>
          <w:rFonts w:ascii="Arial;sans-serif" w:hAnsi="Arial;sans-serif"/>
          <w:b w:val="false"/>
          <w:color w:val="000000"/>
          <w:sz w:val="20"/>
        </w:rPr>
        <w:t>model.</w:t>
      </w:r>
      <w:r>
        <w:rPr>
          <w:color w:val="000000"/>
        </w:rPr>
        <w:t xml:space="preserve"> </w:t>
      </w:r>
      <w:r>
        <w:rPr>
          <w:rFonts w:ascii="Arial;sans-serif" w:hAnsi="Arial;sans-serif"/>
          <w:b w:val="false"/>
          <w:color w:val="000000"/>
          <w:sz w:val="20"/>
        </w:rPr>
        <w:t>Estimates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assumptions</w:t>
      </w:r>
      <w:r>
        <w:rPr>
          <w:color w:val="000000"/>
        </w:rPr>
        <w:t xml:space="preserve"> </w:t>
      </w:r>
      <w:r>
        <w:rPr>
          <w:rFonts w:ascii="Arial;sans-serif" w:hAnsi="Arial;sans-serif"/>
          <w:b w:val="false"/>
          <w:color w:val="000000"/>
          <w:sz w:val="20"/>
        </w:rPr>
        <w:t>used</w:t>
      </w:r>
      <w:r>
        <w:rPr>
          <w:color w:val="000000"/>
        </w:rPr>
        <w:t xml:space="preserve"> </w:t>
      </w:r>
      <w:r>
        <w:rPr>
          <w:rFonts w:ascii="Arial;sans-serif" w:hAnsi="Arial;sans-serif"/>
          <w:b w:val="false"/>
          <w:color w:val="000000"/>
          <w:sz w:val="20"/>
        </w:rPr>
        <w:t>in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income</w:t>
      </w:r>
      <w:r>
        <w:rPr>
          <w:color w:val="000000"/>
        </w:rPr>
        <w:t xml:space="preserve"> </w:t>
      </w:r>
      <w:r>
        <w:rPr>
          <w:rFonts w:ascii="Arial;sans-serif" w:hAnsi="Arial;sans-serif"/>
          <w:b w:val="false"/>
          <w:color w:val="000000"/>
          <w:sz w:val="20"/>
        </w:rPr>
        <w:t>approach</w:t>
      </w:r>
      <w:r>
        <w:rPr>
          <w:color w:val="000000"/>
        </w:rPr>
        <w:t xml:space="preserve"> </w:t>
      </w:r>
      <w:r>
        <w:rPr>
          <w:rFonts w:ascii="Arial;sans-serif" w:hAnsi="Arial;sans-serif"/>
          <w:b w:val="false"/>
          <w:color w:val="000000"/>
          <w:sz w:val="20"/>
        </w:rPr>
        <w:t>included projected</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flows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discount</w:t>
      </w:r>
      <w:r>
        <w:rPr>
          <w:color w:val="000000"/>
        </w:rPr>
        <w:t xml:space="preserve"> </w:t>
      </w:r>
      <w:r>
        <w:rPr>
          <w:rFonts w:ascii="Arial;sans-serif" w:hAnsi="Arial;sans-serif"/>
          <w:b w:val="false"/>
          <w:color w:val="000000"/>
          <w:sz w:val="20"/>
        </w:rPr>
        <w:t>rate.</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discount</w:t>
      </w:r>
      <w:r>
        <w:rPr>
          <w:color w:val="000000"/>
        </w:rPr>
        <w:t xml:space="preserve"> </w:t>
      </w:r>
      <w:r>
        <w:rPr>
          <w:rFonts w:ascii="Arial;sans-serif" w:hAnsi="Arial;sans-serif"/>
          <w:b w:val="false"/>
          <w:color w:val="000000"/>
          <w:sz w:val="20"/>
        </w:rPr>
        <w:t>rate</w:t>
      </w:r>
      <w:r>
        <w:rPr>
          <w:color w:val="000000"/>
        </w:rPr>
        <w:t xml:space="preserve"> </w:t>
      </w:r>
      <w:r>
        <w:rPr>
          <w:rFonts w:ascii="Arial;sans-serif" w:hAnsi="Arial;sans-serif"/>
          <w:b w:val="false"/>
          <w:color w:val="000000"/>
          <w:sz w:val="20"/>
        </w:rPr>
        <w:t>selected</w:t>
      </w:r>
      <w:r>
        <w:rPr>
          <w:color w:val="000000"/>
        </w:rPr>
        <w:t xml:space="preserve"> </w:t>
      </w:r>
      <w:r>
        <w:rPr>
          <w:rFonts w:ascii="Arial;sans-serif" w:hAnsi="Arial;sans-serif"/>
          <w:b w:val="false"/>
          <w:color w:val="000000"/>
          <w:sz w:val="20"/>
        </w:rPr>
        <w:t>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time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IPR&amp;D</w:t>
      </w:r>
      <w:r>
        <w:rPr>
          <w:color w:val="000000"/>
        </w:rPr>
        <w:t xml:space="preserve"> </w:t>
      </w:r>
      <w:r>
        <w:rPr>
          <w:rFonts w:ascii="Arial;sans-serif" w:hAnsi="Arial;sans-serif"/>
          <w:b w:val="false"/>
          <w:color w:val="000000"/>
          <w:sz w:val="20"/>
        </w:rPr>
        <w:t>intangible impairment</w:t>
      </w:r>
      <w:r>
        <w:rPr>
          <w:color w:val="000000"/>
        </w:rPr>
        <w:t xml:space="preserve"> </w:t>
      </w:r>
      <w:r>
        <w:rPr>
          <w:rFonts w:ascii="Arial;sans-serif" w:hAnsi="Arial;sans-serif"/>
          <w:b w:val="false"/>
          <w:color w:val="000000"/>
          <w:sz w:val="20"/>
        </w:rPr>
        <w:t>assessment</w:t>
      </w:r>
      <w:r>
        <w:rPr>
          <w:color w:val="000000"/>
        </w:rPr>
        <w:t xml:space="preserve"> </w:t>
      </w:r>
      <w:r>
        <w:rPr>
          <w:rFonts w:ascii="Arial;sans-serif" w:hAnsi="Arial;sans-serif"/>
          <w:b w:val="false"/>
          <w:color w:val="000000"/>
          <w:sz w:val="20"/>
        </w:rPr>
        <w:t>was 46.5%. Based</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impairment</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performed,</w:t>
      </w:r>
      <w:r>
        <w:rPr>
          <w:color w:val="000000"/>
        </w:rPr>
        <w:t xml:space="preserve"> </w:t>
      </w:r>
      <w:r>
        <w:rPr>
          <w:rFonts w:ascii="Arial;sans-serif" w:hAnsi="Arial;sans-serif"/>
          <w:b w:val="false"/>
          <w:color w:val="000000"/>
          <w:sz w:val="20"/>
        </w:rPr>
        <w:t>Illumina</w:t>
      </w:r>
      <w:r>
        <w:rPr>
          <w:color w:val="000000"/>
        </w:rPr>
        <w:t xml:space="preserve"> </w:t>
      </w:r>
      <w:r>
        <w:rPr>
          <w:rFonts w:ascii="Arial;sans-serif" w:hAnsi="Arial;sans-serif"/>
          <w:b w:val="false"/>
          <w:color w:val="000000"/>
          <w:sz w:val="20"/>
        </w:rPr>
        <w:t>assessed</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determined</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carrying</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 GRAIL’s IPR&amp;D intangible</w:t>
      </w:r>
      <w:r>
        <w:rPr>
          <w:color w:val="000000"/>
        </w:rPr>
        <w:t xml:space="preserve"> </w:t>
      </w:r>
      <w:r>
        <w:rPr>
          <w:rFonts w:ascii="Arial;sans-serif" w:hAnsi="Arial;sans-serif"/>
          <w:b w:val="false"/>
          <w:color w:val="000000"/>
          <w:sz w:val="20"/>
        </w:rPr>
        <w:t>asset</w:t>
      </w:r>
      <w:r>
        <w:rPr>
          <w:color w:val="000000"/>
        </w:rPr>
        <w:t xml:space="preserve"> </w:t>
      </w:r>
      <w:r>
        <w:rPr>
          <w:rFonts w:ascii="Arial;sans-serif" w:hAnsi="Arial;sans-serif"/>
          <w:b w:val="false"/>
          <w:color w:val="000000"/>
          <w:sz w:val="20"/>
        </w:rPr>
        <w:t>exceeded</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estimated</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 As a result of push down accounting, the Company recognized</w:t>
      </w:r>
      <w:r>
        <w:rPr>
          <w:color w:val="000000"/>
        </w:rPr>
        <w:t xml:space="preserve"> </w:t>
      </w:r>
      <w:r>
        <w:rPr>
          <w:rFonts w:ascii="Arial;sans-serif" w:hAnsi="Arial;sans-serif"/>
          <w:b w:val="false"/>
          <w:color w:val="000000"/>
          <w:sz w:val="20"/>
        </w:rPr>
        <w:t>an impairment</w:t>
      </w:r>
      <w:r>
        <w:rPr>
          <w:color w:val="000000"/>
        </w:rPr>
        <w:t xml:space="preserve"> </w:t>
      </w:r>
      <w:r>
        <w:rPr>
          <w:rFonts w:ascii="Arial;sans-serif" w:hAnsi="Arial;sans-serif"/>
          <w:b w:val="false"/>
          <w:color w:val="000000"/>
          <w:sz w:val="20"/>
        </w:rPr>
        <w:t>of $420.0 million primarily due to changes to revenue projections and the discount rate utilized.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83845"/>
                <wp:effectExtent l="0" t="0" r="0" b="0"/>
                <wp:wrapNone/>
                <wp:docPr id="187" name="Frame17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pPr>
      <w:r>
        <w:rPr>
          <w:rFonts w:ascii="Arial;sans-serif" w:hAnsi="Arial;sans-serif"/>
          <w:b w:val="false"/>
          <w:color w:val="000000"/>
          <w:sz w:val="20"/>
        </w:rPr>
        <w:t>In Q2 2024, subsequent to the Spin-Off, the Company performed a portfolio review and determined to decrease investment in the development of the IPR&amp;D asset, which impacted the amount and timing of expected future cash flows attributable to IPR&amp;D. This determination was driven by the impact of the Company’s post-Spin-Off capital structure, constitution of the Company’s Board at the time of the Spin-Off as the key decision maker for the determination, and increased ability to revisit the Company’s business strategy and portfolio as a standalone public company without regulatory oversight. This represented a potential impairment indicator. An impairment assessment was performed using a discounted cash flow model utilizing the updated projected cash flows and discount rate. The discount rate selected was 20.0%. Based</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impairment</w:t>
      </w:r>
      <w:r>
        <w:rPr>
          <w:color w:val="000000"/>
        </w:rPr>
        <w:t xml:space="preserve"> </w:t>
      </w:r>
      <w:r>
        <w:rPr>
          <w:rFonts w:ascii="Arial;sans-serif" w:hAnsi="Arial;sans-serif"/>
          <w:b w:val="false"/>
          <w:color w:val="000000"/>
          <w:sz w:val="20"/>
        </w:rPr>
        <w:t>test</w:t>
      </w:r>
      <w:r>
        <w:rPr>
          <w:color w:val="000000"/>
        </w:rPr>
        <w:t xml:space="preserve"> </w:t>
      </w:r>
      <w:r>
        <w:rPr>
          <w:rFonts w:ascii="Arial;sans-serif" w:hAnsi="Arial;sans-serif"/>
          <w:b w:val="false"/>
          <w:color w:val="000000"/>
          <w:sz w:val="20"/>
        </w:rPr>
        <w:t>performed,</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Company</w:t>
      </w:r>
      <w:r>
        <w:rPr>
          <w:color w:val="000000"/>
        </w:rPr>
        <w:t xml:space="preserve"> </w:t>
      </w:r>
      <w:r>
        <w:rPr>
          <w:rFonts w:ascii="Arial;sans-serif" w:hAnsi="Arial;sans-serif"/>
          <w:b w:val="false"/>
          <w:color w:val="000000"/>
          <w:sz w:val="20"/>
        </w:rPr>
        <w:t>assessed</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determined</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carrying</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 the IPR&amp;D intangible</w:t>
      </w:r>
      <w:r>
        <w:rPr>
          <w:color w:val="000000"/>
        </w:rPr>
        <w:t xml:space="preserve"> </w:t>
      </w:r>
      <w:r>
        <w:rPr>
          <w:rFonts w:ascii="Arial;sans-serif" w:hAnsi="Arial;sans-serif"/>
          <w:b w:val="false"/>
          <w:color w:val="000000"/>
          <w:sz w:val="20"/>
        </w:rPr>
        <w:t>asset</w:t>
      </w:r>
      <w:r>
        <w:rPr>
          <w:color w:val="000000"/>
        </w:rPr>
        <w:t xml:space="preserve"> </w:t>
      </w:r>
      <w:r>
        <w:rPr>
          <w:rFonts w:ascii="Arial;sans-serif" w:hAnsi="Arial;sans-serif"/>
          <w:b w:val="false"/>
          <w:color w:val="000000"/>
          <w:sz w:val="20"/>
        </w:rPr>
        <w:t>exceeded</w:t>
      </w:r>
      <w:r>
        <w:rPr>
          <w:color w:val="000000"/>
        </w:rPr>
        <w:t xml:space="preserve"> </w:t>
      </w:r>
      <w:r>
        <w:rPr>
          <w:rFonts w:ascii="Arial;sans-serif" w:hAnsi="Arial;sans-serif"/>
          <w:b w:val="false"/>
          <w:color w:val="000000"/>
          <w:sz w:val="20"/>
        </w:rPr>
        <w:t>its</w:t>
      </w:r>
      <w:r>
        <w:rPr>
          <w:color w:val="000000"/>
        </w:rPr>
        <w:t xml:space="preserve"> </w:t>
      </w:r>
      <w:r>
        <w:rPr>
          <w:rFonts w:ascii="Arial;sans-serif" w:hAnsi="Arial;sans-serif"/>
          <w:b w:val="false"/>
          <w:color w:val="000000"/>
          <w:sz w:val="20"/>
        </w:rPr>
        <w:t>estimated</w:t>
      </w:r>
      <w:r>
        <w:rPr>
          <w:color w:val="000000"/>
        </w:rPr>
        <w:t xml:space="preserve"> </w:t>
      </w:r>
      <w:r>
        <w:rPr>
          <w:rFonts w:ascii="Arial;sans-serif" w:hAnsi="Arial;sans-serif"/>
          <w:b w:val="false"/>
          <w:color w:val="000000"/>
          <w:sz w:val="20"/>
        </w:rPr>
        <w:t>fair</w:t>
      </w:r>
      <w:r>
        <w:rPr>
          <w:color w:val="000000"/>
        </w:rPr>
        <w:t xml:space="preserve"> </w:t>
      </w:r>
      <w:r>
        <w:rPr>
          <w:rFonts w:ascii="Arial;sans-serif" w:hAnsi="Arial;sans-serif"/>
          <w:b w:val="false"/>
          <w:color w:val="000000"/>
          <w:sz w:val="20"/>
        </w:rPr>
        <w:t>value. As a result,</w:t>
      </w:r>
      <w:r>
        <w:rPr>
          <w:color w:val="000000"/>
        </w:rPr>
        <w:t xml:space="preserve"> </w:t>
      </w:r>
      <w:r>
        <w:rPr>
          <w:rFonts w:ascii="Arial;sans-serif" w:hAnsi="Arial;sans-serif"/>
          <w:b w:val="false"/>
          <w:color w:val="000000"/>
          <w:sz w:val="20"/>
        </w:rPr>
        <w:t>the Company recognized</w:t>
      </w:r>
      <w:r>
        <w:rPr>
          <w:color w:val="000000"/>
        </w:rPr>
        <w:t xml:space="preserve"> </w:t>
      </w:r>
      <w:r>
        <w:rPr>
          <w:rFonts w:ascii="Arial;sans-serif" w:hAnsi="Arial;sans-serif"/>
          <w:b w:val="false"/>
          <w:color w:val="000000"/>
          <w:sz w:val="20"/>
        </w:rPr>
        <w:t>an additional impairment</w:t>
      </w:r>
      <w:r>
        <w:rPr>
          <w:color w:val="000000"/>
        </w:rPr>
        <w:t xml:space="preserve"> </w:t>
      </w:r>
      <w:r>
        <w:rPr>
          <w:rFonts w:ascii="Arial;sans-serif" w:hAnsi="Arial;sans-serif"/>
          <w:b w:val="false"/>
          <w:color w:val="000000"/>
          <w:sz w:val="20"/>
        </w:rPr>
        <w:t>of $112.0 million,</w:t>
      </w:r>
      <w:r>
        <w:rPr>
          <w:color w:val="000000"/>
        </w:rPr>
        <w:t xml:space="preserve"> </w:t>
      </w:r>
      <w:r>
        <w:rPr>
          <w:rFonts w:ascii="Arial;sans-serif" w:hAnsi="Arial;sans-serif"/>
          <w:b w:val="false"/>
          <w:color w:val="000000"/>
          <w:sz w:val="20"/>
        </w:rPr>
        <w:t>primarily</w:t>
      </w:r>
      <w:r>
        <w:rPr>
          <w:color w:val="000000"/>
        </w:rPr>
        <w:t xml:space="preserve"> </w:t>
      </w:r>
      <w:r>
        <w:rPr>
          <w:rFonts w:ascii="Arial;sans-serif" w:hAnsi="Arial;sans-serif"/>
          <w:b w:val="false"/>
          <w:color w:val="000000"/>
          <w:sz w:val="20"/>
        </w:rPr>
        <w:t>due to a decrease</w:t>
      </w:r>
      <w:r>
        <w:rPr>
          <w:color w:val="000000"/>
        </w:rPr>
        <w:t xml:space="preserve"> </w:t>
      </w:r>
      <w:r>
        <w:rPr>
          <w:rFonts w:ascii="Arial;sans-serif" w:hAnsi="Arial;sans-serif"/>
          <w:b w:val="false"/>
          <w:color w:val="000000"/>
          <w:sz w:val="20"/>
        </w:rPr>
        <w:t>in projected</w:t>
      </w:r>
      <w:r>
        <w:rPr>
          <w:color w:val="000000"/>
        </w:rPr>
        <w:t xml:space="preserve"> </w:t>
      </w:r>
      <w:r>
        <w:rPr>
          <w:rFonts w:ascii="Arial;sans-serif" w:hAnsi="Arial;sans-serif"/>
          <w:b w:val="false"/>
          <w:color w:val="000000"/>
          <w:sz w:val="20"/>
        </w:rPr>
        <w:t>cash flows.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Q2 2025, the Company identified a change in market conditions in relation to its IPR&amp;D asset which is in development. The change is expected to impact the amount of future cash flows attributable to the technology underlying the IPR&amp;D asset. This represented a potential impairment indicator. An impairment assessment was performed using a discounted cash flow model utilizing the updated projected cash flows and discount rate. The discount rate selected was 21.0%. Based on the impairment test performed, the Company assessed and determined that the carrying value of the IPR&amp;D intangible asset exceeded its estimated fair value. As a result, the Company recognized an impairment of $28.0 million, resulting in the write off of the entire carrying value of the IPR&amp;D asset.</w:t>
      </w:r>
    </w:p>
    <w:p>
      <w:pPr>
        <w:pStyle w:val="TextBody"/>
        <w:bidi w:val="0"/>
        <w:spacing w:lineRule="auto" w:line="288" w:before="240" w:after="283"/>
        <w:ind w:left="0" w:right="0" w:firstLine="450"/>
        <w:jc w:val="left"/>
        <w:rPr/>
      </w:pPr>
      <w:r>
        <w:rPr>
          <w:rFonts w:ascii="Arial;sans-serif" w:hAnsi="Arial;sans-serif"/>
          <w:b w:val="false"/>
          <w:color w:val="000000"/>
          <w:sz w:val="20"/>
        </w:rPr>
        <w:t>The estimates</w:t>
      </w:r>
      <w:r>
        <w:rPr>
          <w:color w:val="000000"/>
        </w:rPr>
        <w:t xml:space="preserve"> </w:t>
      </w:r>
      <w:r>
        <w:rPr>
          <w:rFonts w:ascii="Arial;sans-serif" w:hAnsi="Arial;sans-serif"/>
          <w:b w:val="false"/>
          <w:color w:val="000000"/>
          <w:sz w:val="20"/>
        </w:rPr>
        <w:t>and assumptions</w:t>
      </w:r>
      <w:r>
        <w:rPr>
          <w:color w:val="000000"/>
        </w:rPr>
        <w:t xml:space="preserve"> </w:t>
      </w:r>
      <w:r>
        <w:rPr>
          <w:rFonts w:ascii="Arial;sans-serif" w:hAnsi="Arial;sans-serif"/>
          <w:b w:val="false"/>
          <w:color w:val="000000"/>
          <w:sz w:val="20"/>
        </w:rPr>
        <w:t>updated in each of the evaluations described above represent</w:t>
      </w:r>
      <w:r>
        <w:rPr>
          <w:color w:val="000000"/>
        </w:rPr>
        <w:t xml:space="preserve"> </w:t>
      </w:r>
      <w:r>
        <w:rPr>
          <w:rFonts w:ascii="Arial;sans-serif" w:hAnsi="Arial;sans-serif"/>
          <w:b w:val="false"/>
          <w:color w:val="000000"/>
          <w:sz w:val="20"/>
        </w:rPr>
        <w:t>a Level 3 measurement</w:t>
      </w:r>
      <w:r>
        <w:rPr>
          <w:color w:val="000000"/>
        </w:rPr>
        <w:t xml:space="preserve"> </w:t>
      </w:r>
      <w:r>
        <w:rPr>
          <w:rFonts w:ascii="Arial;sans-serif" w:hAnsi="Arial;sans-serif"/>
          <w:b w:val="false"/>
          <w:color w:val="000000"/>
          <w:sz w:val="20"/>
        </w:rPr>
        <w:t>because they</w:t>
      </w:r>
      <w:r>
        <w:rPr>
          <w:color w:val="000000"/>
        </w:rPr>
        <w:t xml:space="preserve"> </w:t>
      </w:r>
      <w:r>
        <w:rPr>
          <w:rFonts w:ascii="Arial;sans-serif" w:hAnsi="Arial;sans-serif"/>
          <w:b w:val="false"/>
          <w:color w:val="000000"/>
          <w:sz w:val="20"/>
        </w:rPr>
        <w:t>include</w:t>
      </w:r>
      <w:r>
        <w:rPr>
          <w:color w:val="000000"/>
        </w:rPr>
        <w:t xml:space="preserve"> </w:t>
      </w:r>
      <w:r>
        <w:rPr>
          <w:rFonts w:ascii="Arial;sans-serif" w:hAnsi="Arial;sans-serif"/>
          <w:b w:val="false"/>
          <w:color w:val="000000"/>
          <w:sz w:val="20"/>
        </w:rPr>
        <w:t>unobservable</w:t>
      </w:r>
      <w:r>
        <w:rPr>
          <w:color w:val="000000"/>
        </w:rPr>
        <w:t xml:space="preserve"> </w:t>
      </w:r>
      <w:r>
        <w:rPr>
          <w:rFonts w:ascii="Arial;sans-serif" w:hAnsi="Arial;sans-serif"/>
          <w:b w:val="false"/>
          <w:color w:val="000000"/>
          <w:sz w:val="20"/>
        </w:rPr>
        <w:t>inputs</w:t>
      </w:r>
      <w:r>
        <w:rPr>
          <w:color w:val="000000"/>
        </w:rPr>
        <w:t xml:space="preserve"> </w:t>
      </w:r>
      <w:r>
        <w:rPr>
          <w:rFonts w:ascii="Arial;sans-serif" w:hAnsi="Arial;sans-serif"/>
          <w:b w:val="false"/>
          <w:color w:val="000000"/>
          <w:sz w:val="20"/>
        </w:rPr>
        <w:t>that</w:t>
      </w:r>
      <w:r>
        <w:rPr>
          <w:color w:val="000000"/>
        </w:rPr>
        <w:t xml:space="preserve"> </w:t>
      </w:r>
      <w:r>
        <w:rPr>
          <w:rFonts w:ascii="Arial;sans-serif" w:hAnsi="Arial;sans-serif"/>
          <w:b w:val="false"/>
          <w:color w:val="000000"/>
          <w:sz w:val="20"/>
        </w:rPr>
        <w:t>are</w:t>
      </w:r>
      <w:r>
        <w:rPr>
          <w:color w:val="000000"/>
        </w:rPr>
        <w:t xml:space="preserve"> </w:t>
      </w:r>
      <w:r>
        <w:rPr>
          <w:rFonts w:ascii="Arial;sans-serif" w:hAnsi="Arial;sans-serif"/>
          <w:b w:val="false"/>
          <w:color w:val="000000"/>
          <w:sz w:val="20"/>
        </w:rPr>
        <w:t>supported</w:t>
      </w:r>
      <w:r>
        <w:rPr>
          <w:color w:val="000000"/>
        </w:rPr>
        <w:t xml:space="preserve"> </w:t>
      </w:r>
      <w:r>
        <w:rPr>
          <w:rFonts w:ascii="Arial;sans-serif" w:hAnsi="Arial;sans-serif"/>
          <w:b w:val="false"/>
          <w:color w:val="000000"/>
          <w:sz w:val="20"/>
        </w:rPr>
        <w:t>by</w:t>
      </w:r>
      <w:r>
        <w:rPr>
          <w:color w:val="000000"/>
        </w:rPr>
        <w:t xml:space="preserve"> </w:t>
      </w:r>
      <w:r>
        <w:rPr>
          <w:rFonts w:ascii="Arial;sans-serif" w:hAnsi="Arial;sans-serif"/>
          <w:b w:val="false"/>
          <w:color w:val="000000"/>
          <w:sz w:val="20"/>
        </w:rPr>
        <w:t>little</w:t>
      </w:r>
      <w:r>
        <w:rPr>
          <w:color w:val="000000"/>
        </w:rPr>
        <w:t xml:space="preserve"> </w:t>
      </w:r>
      <w:r>
        <w:rPr>
          <w:rFonts w:ascii="Arial;sans-serif" w:hAnsi="Arial;sans-serif"/>
          <w:b w:val="false"/>
          <w:color w:val="000000"/>
          <w:sz w:val="20"/>
        </w:rPr>
        <w:t>or</w:t>
      </w:r>
      <w:r>
        <w:rPr>
          <w:color w:val="000000"/>
        </w:rPr>
        <w:t xml:space="preserve"> </w:t>
      </w:r>
      <w:r>
        <w:rPr>
          <w:rFonts w:ascii="Arial;sans-serif" w:hAnsi="Arial;sans-serif"/>
          <w:b w:val="false"/>
          <w:color w:val="000000"/>
          <w:sz w:val="20"/>
        </w:rPr>
        <w:t>no</w:t>
      </w:r>
      <w:r>
        <w:rPr>
          <w:color w:val="000000"/>
        </w:rPr>
        <w:t xml:space="preserve"> </w:t>
      </w:r>
      <w:r>
        <w:rPr>
          <w:rFonts w:ascii="Arial;sans-serif" w:hAnsi="Arial;sans-serif"/>
          <w:b w:val="false"/>
          <w:color w:val="000000"/>
          <w:sz w:val="20"/>
        </w:rPr>
        <w:t>market</w:t>
      </w:r>
      <w:r>
        <w:rPr>
          <w:color w:val="000000"/>
        </w:rPr>
        <w:t xml:space="preserve"> </w:t>
      </w:r>
      <w:r>
        <w:rPr>
          <w:rFonts w:ascii="Arial;sans-serif" w:hAnsi="Arial;sans-serif"/>
          <w:b w:val="false"/>
          <w:color w:val="000000"/>
          <w:sz w:val="20"/>
        </w:rPr>
        <w:t>activity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reflect</w:t>
      </w:r>
      <w:r>
        <w:rPr>
          <w:color w:val="000000"/>
        </w:rPr>
        <w:t xml:space="preserve"> </w:t>
      </w:r>
      <w:r>
        <w:rPr>
          <w:rFonts w:ascii="Arial;sans-serif" w:hAnsi="Arial;sans-serif"/>
          <w:b w:val="false"/>
          <w:color w:val="000000"/>
          <w:sz w:val="20"/>
        </w:rPr>
        <w:t>Company-determined</w:t>
      </w:r>
      <w:r>
        <w:rPr>
          <w:color w:val="000000"/>
        </w:rPr>
        <w:t xml:space="preserve"> </w:t>
      </w:r>
      <w:r>
        <w:rPr>
          <w:rFonts w:ascii="Arial;sans-serif" w:hAnsi="Arial;sans-serif"/>
          <w:b w:val="false"/>
          <w:color w:val="000000"/>
          <w:sz w:val="20"/>
        </w:rPr>
        <w:t>and judgmental</w:t>
      </w:r>
      <w:r>
        <w:rPr>
          <w:color w:val="000000"/>
        </w:rPr>
        <w:t xml:space="preserve"> </w:t>
      </w:r>
      <w:r>
        <w:rPr>
          <w:rFonts w:ascii="Arial;sans-serif" w:hAnsi="Arial;sans-serif"/>
          <w:b w:val="false"/>
          <w:color w:val="000000"/>
          <w:sz w:val="20"/>
        </w:rPr>
        <w:t>factors</w:t>
      </w:r>
      <w:r>
        <w:rPr>
          <w:color w:val="000000"/>
        </w:rPr>
        <w:t xml:space="preserve"> </w:t>
      </w:r>
      <w:r>
        <w:rPr>
          <w:rFonts w:ascii="Arial;sans-serif" w:hAnsi="Arial;sans-serif"/>
          <w:b w:val="false"/>
          <w:color w:val="000000"/>
          <w:sz w:val="20"/>
        </w:rPr>
        <w:t>for</w:t>
      </w:r>
      <w:r>
        <w:rPr>
          <w:color w:val="000000"/>
        </w:rPr>
        <w:t xml:space="preserve"> </w:t>
      </w:r>
      <w:r>
        <w:rPr>
          <w:rFonts w:ascii="Arial;sans-serif" w:hAnsi="Arial;sans-serif"/>
          <w:b w:val="false"/>
          <w:color w:val="000000"/>
          <w:sz w:val="20"/>
        </w:rPr>
        <w:t>these</w:t>
      </w:r>
      <w:r>
        <w:rPr>
          <w:color w:val="000000"/>
        </w:rPr>
        <w:t xml:space="preserve"> </w:t>
      </w:r>
      <w:r>
        <w:rPr>
          <w:rFonts w:ascii="Arial;sans-serif" w:hAnsi="Arial;sans-serif"/>
          <w:b w:val="false"/>
          <w:color w:val="000000"/>
          <w:sz w:val="20"/>
        </w:rPr>
        <w:t>assumptions</w:t>
      </w:r>
      <w:r>
        <w:rPr>
          <w:color w:val="000000"/>
        </w:rPr>
        <w:t xml:space="preserve"> </w:t>
      </w:r>
      <w:r>
        <w:rPr>
          <w:rFonts w:ascii="Arial;sans-serif" w:hAnsi="Arial;sans-serif"/>
          <w:b w:val="false"/>
          <w:color w:val="000000"/>
          <w:sz w:val="20"/>
        </w:rPr>
        <w:t>in measuring</w:t>
      </w:r>
      <w:r>
        <w:rPr>
          <w:color w:val="000000"/>
        </w:rPr>
        <w:t xml:space="preserve"> </w:t>
      </w:r>
      <w:r>
        <w:rPr>
          <w:rFonts w:ascii="Arial;sans-serif" w:hAnsi="Arial;sans-serif"/>
          <w:b w:val="false"/>
          <w:color w:val="000000"/>
          <w:sz w:val="20"/>
        </w:rPr>
        <w:t>a fair</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The assumptions</w:t>
      </w:r>
      <w:r>
        <w:rPr>
          <w:color w:val="000000"/>
        </w:rPr>
        <w:t xml:space="preserve"> </w:t>
      </w:r>
      <w:r>
        <w:rPr>
          <w:rFonts w:ascii="Arial;sans-serif" w:hAnsi="Arial;sans-serif"/>
          <w:b w:val="false"/>
          <w:color w:val="000000"/>
          <w:sz w:val="20"/>
        </w:rPr>
        <w:t>in the assessment</w:t>
      </w:r>
      <w:r>
        <w:rPr>
          <w:color w:val="000000"/>
        </w:rPr>
        <w:t xml:space="preserve"> </w:t>
      </w:r>
      <w:r>
        <w:rPr>
          <w:rFonts w:ascii="Arial;sans-serif" w:hAnsi="Arial;sans-serif"/>
          <w:b w:val="false"/>
          <w:color w:val="000000"/>
          <w:sz w:val="20"/>
        </w:rPr>
        <w:t>of an impairment</w:t>
      </w:r>
      <w:r>
        <w:rPr>
          <w:color w:val="000000"/>
        </w:rPr>
        <w:t xml:space="preserve"> </w:t>
      </w:r>
      <w:r>
        <w:rPr>
          <w:rFonts w:ascii="Arial;sans-serif" w:hAnsi="Arial;sans-serif"/>
          <w:b w:val="false"/>
          <w:color w:val="000000"/>
          <w:sz w:val="20"/>
        </w:rPr>
        <w:t>analysis</w:t>
      </w:r>
      <w:r>
        <w:rPr>
          <w:color w:val="000000"/>
        </w:rPr>
        <w:t xml:space="preserve"> </w:t>
      </w:r>
      <w:r>
        <w:rPr>
          <w:rFonts w:ascii="Arial;sans-serif" w:hAnsi="Arial;sans-serif"/>
          <w:b w:val="false"/>
          <w:color w:val="000000"/>
          <w:sz w:val="20"/>
        </w:rPr>
        <w:t>are inherently</w:t>
      </w:r>
      <w:r>
        <w:rPr>
          <w:color w:val="000000"/>
        </w:rPr>
        <w:t xml:space="preserve"> </w:t>
      </w:r>
      <w:r>
        <w:rPr>
          <w:rFonts w:ascii="Arial;sans-serif" w:hAnsi="Arial;sans-serif"/>
          <w:b w:val="false"/>
          <w:color w:val="000000"/>
          <w:sz w:val="20"/>
        </w:rPr>
        <w:t>subjective</w:t>
      </w:r>
      <w:r>
        <w:rPr>
          <w:color w:val="000000"/>
        </w:rPr>
        <w:t xml:space="preserve"> </w:t>
      </w:r>
      <w:r>
        <w:rPr>
          <w:rFonts w:ascii="Arial;sans-serif" w:hAnsi="Arial;sans-serif"/>
          <w:b w:val="false"/>
          <w:color w:val="000000"/>
          <w:sz w:val="20"/>
        </w:rPr>
        <w:t>due to uncertainty</w:t>
      </w:r>
      <w:r>
        <w:rPr>
          <w:color w:val="000000"/>
        </w:rPr>
        <w:t xml:space="preserve"> </w:t>
      </w:r>
      <w:r>
        <w:rPr>
          <w:rFonts w:ascii="Arial;sans-serif" w:hAnsi="Arial;sans-serif"/>
          <w:b w:val="false"/>
          <w:color w:val="000000"/>
          <w:sz w:val="20"/>
        </w:rPr>
        <w:t>and any slight</w:t>
      </w:r>
      <w:r>
        <w:rPr>
          <w:color w:val="000000"/>
        </w:rPr>
        <w:t xml:space="preserve"> </w:t>
      </w:r>
      <w:r>
        <w:rPr>
          <w:rFonts w:ascii="Arial;sans-serif" w:hAnsi="Arial;sans-serif"/>
          <w:b w:val="false"/>
          <w:color w:val="000000"/>
          <w:sz w:val="20"/>
        </w:rPr>
        <w:t>changes in these rates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assumptions</w:t>
      </w:r>
      <w:r>
        <w:rPr>
          <w:color w:val="000000"/>
        </w:rPr>
        <w:t xml:space="preserve"> </w:t>
      </w:r>
      <w:r>
        <w:rPr>
          <w:rFonts w:ascii="Arial;sans-serif" w:hAnsi="Arial;sans-serif"/>
          <w:b w:val="false"/>
          <w:color w:val="000000"/>
          <w:sz w:val="20"/>
        </w:rPr>
        <w:t>could</w:t>
      </w:r>
      <w:r>
        <w:rPr>
          <w:color w:val="000000"/>
        </w:rPr>
        <w:t xml:space="preserve"> </w:t>
      </w:r>
      <w:r>
        <w:rPr>
          <w:rFonts w:ascii="Arial;sans-serif" w:hAnsi="Arial;sans-serif"/>
          <w:b w:val="false"/>
          <w:color w:val="000000"/>
          <w:sz w:val="20"/>
        </w:rPr>
        <w:t>have</w:t>
      </w:r>
      <w:r>
        <w:rPr>
          <w:color w:val="000000"/>
        </w:rPr>
        <w:t xml:space="preserve"> </w:t>
      </w: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significant</w:t>
      </w:r>
      <w:r>
        <w:rPr>
          <w:color w:val="000000"/>
        </w:rPr>
        <w:t xml:space="preserve"> </w:t>
      </w:r>
      <w:r>
        <w:rPr>
          <w:rFonts w:ascii="Arial;sans-serif" w:hAnsi="Arial;sans-serif"/>
          <w:b w:val="false"/>
          <w:color w:val="000000"/>
          <w:sz w:val="20"/>
        </w:rPr>
        <w:t>impact</w:t>
      </w:r>
      <w:r>
        <w:rPr>
          <w:color w:val="000000"/>
        </w:rPr>
        <w:t xml:space="preserve"> </w:t>
      </w:r>
      <w:r>
        <w:rPr>
          <w:rFonts w:ascii="Arial;sans-serif" w:hAnsi="Arial;sans-serif"/>
          <w:b w:val="false"/>
          <w:color w:val="000000"/>
          <w:sz w:val="20"/>
        </w:rPr>
        <w:t>on</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concluded</w:t>
      </w:r>
      <w:r>
        <w:rPr>
          <w:color w:val="000000"/>
        </w:rPr>
        <w:t xml:space="preserve"> </w:t>
      </w:r>
      <w:r>
        <w:rPr>
          <w:rFonts w:ascii="Arial;sans-serif" w:hAnsi="Arial;sans-serif"/>
          <w:b w:val="false"/>
          <w:color w:val="000000"/>
          <w:sz w:val="20"/>
        </w:rPr>
        <w:t>value</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Goodwill and IPR&amp;D</w:t>
      </w:r>
      <w:r>
        <w:rPr>
          <w:color w:val="000000"/>
        </w:rPr>
        <w:t xml:space="preserve"> </w:t>
      </w:r>
      <w:r>
        <w:rPr>
          <w:rFonts w:ascii="Arial;sans-serif" w:hAnsi="Arial;sans-serif"/>
          <w:b w:val="false"/>
          <w:color w:val="000000"/>
          <w:sz w:val="20"/>
        </w:rPr>
        <w:t>intangible</w:t>
      </w:r>
      <w:r>
        <w:rPr>
          <w:color w:val="000000"/>
        </w:rPr>
        <w:t xml:space="preserve"> </w:t>
      </w:r>
      <w:r>
        <w:rPr>
          <w:rFonts w:ascii="Arial;sans-serif" w:hAnsi="Arial;sans-serif"/>
          <w:b w:val="false"/>
          <w:color w:val="000000"/>
          <w:sz w:val="20"/>
        </w:rPr>
        <w:t xml:space="preserve">assets. </w:t>
      </w:r>
    </w:p>
    <w:p>
      <w:pPr>
        <w:pStyle w:val="TextBody"/>
        <w:bidi w:val="0"/>
        <w:spacing w:lineRule="auto" w:line="288" w:before="240" w:after="283"/>
        <w:ind w:left="0" w:right="0" w:firstLine="45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2024, the Company performed a recoverability test of its finite-lived intangible assets, and no impairment was identified. In 2025, the Company determined that no triggering events occurred that would require performing a recoverability test, and accordingly, no impairment charge was recorded. See Note 17, Subsequent Events, for information regarding a possible impairment indicator related to the Company’s finite-lived intangible assets identified during the three months ending March 31, 2026. </w:t>
      </w:r>
    </w:p>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Amortization expense related to finite-lived intangible assets</w:t>
      </w:r>
      <w:r>
        <w:rPr>
          <w:color w:val="231F20"/>
          <w:shd w:fill="FFFFFF" w:val="clear"/>
        </w:rPr>
        <w:t xml:space="preserve"> </w:t>
      </w:r>
      <w:r>
        <w:rPr>
          <w:rFonts w:ascii="Arial;sans-serif" w:hAnsi="Arial;sans-serif"/>
          <w:b w:val="false"/>
          <w:color w:val="231F20"/>
          <w:sz w:val="20"/>
          <w:shd w:fill="FFFFFF" w:val="clear"/>
        </w:rPr>
        <w:t xml:space="preserve">was </w:t>
      </w:r>
      <w:r>
        <w:rPr>
          <w:rFonts w:ascii="Arial;sans-serif" w:hAnsi="Arial;sans-serif"/>
          <w:b w:val="false"/>
          <w:color w:val="000000"/>
          <w:sz w:val="20"/>
        </w:rPr>
        <w:t>$138.3</w:t>
      </w:r>
      <w:r>
        <w:rPr>
          <w:color w:val="000000"/>
          <w:shd w:fill="FFFFFF" w:val="clear"/>
        </w:rPr>
        <w:t xml:space="preserve"> </w:t>
      </w:r>
      <w:r>
        <w:rPr>
          <w:rFonts w:ascii="Arial;sans-serif" w:hAnsi="Arial;sans-serif"/>
          <w:b w:val="false"/>
          <w:color w:val="000000"/>
          <w:sz w:val="20"/>
          <w:shd w:fill="FFFFFF" w:val="clear"/>
        </w:rPr>
        <w:t xml:space="preserve">million </w:t>
      </w:r>
      <w:r>
        <w:rPr>
          <w:rFonts w:ascii="Arial;sans-serif" w:hAnsi="Arial;sans-serif"/>
          <w:b w:val="false"/>
          <w:color w:val="231F20"/>
          <w:sz w:val="20"/>
        </w:rPr>
        <w:t xml:space="preserve">for each of the years ended December 31, 2025, </w:t>
      </w:r>
      <w:r>
        <w:rPr>
          <w:rFonts w:ascii="Arial;sans-serif" w:hAnsi="Arial;sans-serif"/>
          <w:b w:val="false"/>
          <w:color w:val="000000"/>
          <w:sz w:val="20"/>
        </w:rPr>
        <w:t>December 31, 2024</w:t>
      </w:r>
      <w:r>
        <w:rPr>
          <w:rFonts w:ascii="Arial;sans-serif" w:hAnsi="Arial;sans-serif"/>
          <w:b w:val="false"/>
          <w:color w:val="231F20"/>
          <w:sz w:val="20"/>
        </w:rPr>
        <w:t xml:space="preserve">, and </w:t>
      </w:r>
      <w:r>
        <w:rPr>
          <w:rFonts w:ascii="Arial;sans-serif" w:hAnsi="Arial;sans-serif"/>
          <w:b w:val="false"/>
          <w:color w:val="000000"/>
          <w:sz w:val="20"/>
        </w:rPr>
        <w:t>December 31, 2023</w:t>
      </w:r>
      <w:r>
        <w:rPr>
          <w:rFonts w:ascii="Arial;sans-serif" w:hAnsi="Arial;sans-serif"/>
          <w:b w:val="false"/>
          <w:color w:val="231F20"/>
          <w:sz w:val="20"/>
        </w:rPr>
        <w:t>.</w:t>
      </w:r>
    </w:p>
    <w:p>
      <w:pPr>
        <w:pStyle w:val="TextBody"/>
        <w:bidi w:val="0"/>
        <w:spacing w:lineRule="auto" w:line="288" w:before="240" w:after="283"/>
        <w:ind w:left="0" w:right="0" w:firstLine="450"/>
        <w:jc w:val="left"/>
        <w:rPr/>
      </w:pPr>
      <w:r>
        <w:rPr>
          <w:rFonts w:ascii="Arial;sans-serif" w:hAnsi="Arial;sans-serif"/>
          <w:b w:val="false"/>
          <w:color w:val="231F20"/>
          <w:sz w:val="20"/>
        </w:rPr>
        <w:t>The estimated</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annual</w:t>
      </w:r>
      <w:r>
        <w:rPr>
          <w:color w:val="231F20"/>
        </w:rPr>
        <w:t xml:space="preserve"> </w:t>
      </w:r>
      <w:r>
        <w:rPr>
          <w:rFonts w:ascii="Arial;sans-serif" w:hAnsi="Arial;sans-serif"/>
          <w:b w:val="false"/>
          <w:color w:val="231F20"/>
          <w:sz w:val="20"/>
        </w:rPr>
        <w:t>amortization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finite-lived</w:t>
      </w:r>
      <w:r>
        <w:rPr>
          <w:color w:val="231F20"/>
        </w:rPr>
        <w:t xml:space="preserve"> </w:t>
      </w:r>
      <w:r>
        <w:rPr>
          <w:rFonts w:ascii="Arial;sans-serif" w:hAnsi="Arial;sans-serif"/>
          <w:b w:val="false"/>
          <w:color w:val="231F20"/>
          <w:sz w:val="20"/>
        </w:rPr>
        <w:t>intangible</w:t>
      </w:r>
      <w:r>
        <w:rPr>
          <w:color w:val="231F20"/>
        </w:rPr>
        <w:t xml:space="preserve"> </w:t>
      </w:r>
      <w:r>
        <w:rPr>
          <w:rFonts w:ascii="Arial;sans-serif" w:hAnsi="Arial;sans-serif"/>
          <w:b w:val="false"/>
          <w:color w:val="231F20"/>
          <w:sz w:val="20"/>
        </w:rPr>
        <w:t>assets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shown 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following</w:t>
      </w:r>
      <w:r>
        <w:rPr>
          <w:color w:val="231F20"/>
        </w:rPr>
        <w:t xml:space="preserve"> </w:t>
      </w:r>
      <w:r>
        <w:rPr>
          <w:rFonts w:ascii="Arial;sans-serif" w:hAnsi="Arial;sans-serif"/>
          <w:b w:val="false"/>
          <w:color w:val="231F20"/>
          <w:sz w:val="20"/>
        </w:rPr>
        <w:t>table. Actual</w:t>
      </w:r>
      <w:r>
        <w:rPr>
          <w:color w:val="231F20"/>
        </w:rPr>
        <w:t xml:space="preserve"> </w:t>
      </w:r>
      <w:r>
        <w:rPr>
          <w:rFonts w:ascii="Arial;sans-serif" w:hAnsi="Arial;sans-serif"/>
          <w:b w:val="false"/>
          <w:color w:val="231F20"/>
          <w:sz w:val="20"/>
        </w:rPr>
        <w:t>amortization</w:t>
      </w:r>
      <w:r>
        <w:rPr>
          <w:color w:val="231F20"/>
        </w:rPr>
        <w:t xml:space="preserve"> </w:t>
      </w:r>
      <w:r>
        <w:rPr>
          <w:rFonts w:ascii="Arial;sans-serif" w:hAnsi="Arial;sans-serif"/>
          <w:b w:val="false"/>
          <w:color w:val="231F20"/>
          <w:sz w:val="20"/>
        </w:rPr>
        <w:t>expense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reported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periods</w:t>
      </w:r>
      <w:r>
        <w:rPr>
          <w:color w:val="231F20"/>
        </w:rPr>
        <w:t xml:space="preserve"> </w:t>
      </w:r>
      <w:r>
        <w:rPr>
          <w:rFonts w:ascii="Arial;sans-serif" w:hAnsi="Arial;sans-serif"/>
          <w:b w:val="false"/>
          <w:color w:val="231F20"/>
          <w:sz w:val="20"/>
        </w:rPr>
        <w:t>could</w:t>
      </w:r>
      <w:r>
        <w:rPr>
          <w:color w:val="231F20"/>
        </w:rPr>
        <w:t xml:space="preserve"> </w:t>
      </w:r>
      <w:r>
        <w:rPr>
          <w:rFonts w:ascii="Arial;sans-serif" w:hAnsi="Arial;sans-serif"/>
          <w:b w:val="false"/>
          <w:color w:val="231F20"/>
          <w:sz w:val="20"/>
        </w:rPr>
        <w:t>differ</w:t>
      </w:r>
      <w:r>
        <w:rPr>
          <w:color w:val="231F20"/>
        </w:rPr>
        <w:t xml:space="preserve"> </w:t>
      </w:r>
      <w:r>
        <w:rPr>
          <w:rFonts w:ascii="Arial;sans-serif" w:hAnsi="Arial;sans-serif"/>
          <w:b w:val="false"/>
          <w:color w:val="231F20"/>
          <w:sz w:val="20"/>
        </w:rPr>
        <w:t>from</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estimates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result</w:t>
      </w:r>
      <w:r>
        <w:rPr>
          <w:color w:val="231F20"/>
        </w:rPr>
        <w:t xml:space="preserve"> </w:t>
      </w:r>
      <w:r>
        <w:rPr>
          <w:rFonts w:ascii="Arial;sans-serif" w:hAnsi="Arial;sans-serif"/>
          <w:b w:val="false"/>
          <w:color w:val="231F20"/>
          <w:sz w:val="20"/>
        </w:rPr>
        <w:t>of acquisitions,</w:t>
      </w:r>
      <w:r>
        <w:rPr>
          <w:color w:val="231F20"/>
        </w:rPr>
        <w:t xml:space="preserve"> </w:t>
      </w:r>
      <w:r>
        <w:rPr>
          <w:rFonts w:ascii="Arial;sans-serif" w:hAnsi="Arial;sans-serif"/>
          <w:b w:val="false"/>
          <w:color w:val="231F20"/>
          <w:sz w:val="20"/>
        </w:rPr>
        <w:t>divestitures,</w:t>
      </w:r>
      <w:r>
        <w:rPr>
          <w:color w:val="231F20"/>
        </w:rPr>
        <w:t xml:space="preserve"> </w:t>
      </w:r>
      <w:r>
        <w:rPr>
          <w:rFonts w:ascii="Arial;sans-serif" w:hAnsi="Arial;sans-serif"/>
          <w:b w:val="false"/>
          <w:color w:val="231F20"/>
          <w:sz w:val="20"/>
        </w:rPr>
        <w:t>and asset</w:t>
      </w:r>
      <w:r>
        <w:rPr>
          <w:color w:val="231F20"/>
        </w:rPr>
        <w:t xml:space="preserve"> </w:t>
      </w:r>
      <w:r>
        <w:rPr>
          <w:rFonts w:ascii="Arial;sans-serif" w:hAnsi="Arial;sans-serif"/>
          <w:b w:val="false"/>
          <w:color w:val="231F20"/>
          <w:sz w:val="20"/>
        </w:rPr>
        <w:t>impairments,</w:t>
      </w:r>
      <w:r>
        <w:rPr>
          <w:color w:val="231F20"/>
        </w:rPr>
        <w:t xml:space="preserve"> </w:t>
      </w:r>
      <w:r>
        <w:rPr>
          <w:rFonts w:ascii="Arial;sans-serif" w:hAnsi="Arial;sans-serif"/>
          <w:b w:val="false"/>
          <w:color w:val="231F20"/>
          <w:sz w:val="20"/>
        </w:rPr>
        <w:t>among</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factors.</w:t>
      </w:r>
    </w:p>
    <w:tbl>
      <w:tblPr>
        <w:tblW w:w="3810" w:type="dxa"/>
        <w:jc w:val="center"/>
        <w:tblInd w:w="0" w:type="dxa"/>
        <w:tblLayout w:type="fixed"/>
        <w:tblCellMar>
          <w:top w:w="28" w:type="dxa"/>
          <w:left w:w="28" w:type="dxa"/>
          <w:bottom w:w="28" w:type="dxa"/>
          <w:right w:w="28" w:type="dxa"/>
        </w:tblCellMar>
      </w:tblPr>
      <w:tblGrid>
        <w:gridCol w:w="424"/>
        <w:gridCol w:w="372"/>
        <w:gridCol w:w="374"/>
        <w:gridCol w:w="415"/>
        <w:gridCol w:w="1922"/>
        <w:gridCol w:w="303"/>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64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Estimated Annual Amortization</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2026</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138,333 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2027</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138,333 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2028</w:t>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138,333 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2029</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138,333 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2030</w:t>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136,852 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Thereafter</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1,160,372 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1,850,556 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83845"/>
                <wp:effectExtent l="0" t="0" r="0" b="0"/>
                <wp:wrapNone/>
                <wp:docPr id="188" name="Frame18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5.</w:t>
      </w:r>
      <w:r>
        <w:rPr>
          <w:color w:val="231F20"/>
        </w:rPr>
        <w:t xml:space="preserve"> </w:t>
      </w:r>
      <w:r>
        <w:rPr>
          <w:rFonts w:ascii="Arial;sans-serif" w:hAnsi="Arial;sans-serif"/>
          <w:b/>
          <w:color w:val="000000"/>
          <w:sz w:val="20"/>
        </w:rPr>
        <w:t>BALANCE SHEET COMPONENTS</w:t>
      </w:r>
    </w:p>
    <w:p>
      <w:pPr>
        <w:pStyle w:val="TextBody"/>
        <w:bidi w:val="0"/>
        <w:spacing w:lineRule="auto" w:line="288" w:before="240" w:after="283"/>
        <w:ind w:left="0" w:right="0" w:firstLine="450"/>
        <w:jc w:val="left"/>
        <w:rPr/>
      </w:pPr>
      <w:r>
        <w:rPr>
          <w:rFonts w:ascii="Arial;sans-serif" w:hAnsi="Arial;sans-serif"/>
          <w:b w:val="false"/>
          <w:color w:val="231F20"/>
          <w:sz w:val="20"/>
        </w:rPr>
        <w:t>The following</w:t>
      </w:r>
      <w:r>
        <w:rPr>
          <w:color w:val="231F20"/>
        </w:rPr>
        <w:t xml:space="preserve"> </w:t>
      </w:r>
      <w:r>
        <w:rPr>
          <w:rFonts w:ascii="Arial;sans-serif" w:hAnsi="Arial;sans-serif"/>
          <w:b w:val="false"/>
          <w:color w:val="231F20"/>
          <w:sz w:val="20"/>
        </w:rPr>
        <w:t>tables</w:t>
      </w:r>
      <w:r>
        <w:rPr>
          <w:color w:val="231F20"/>
        </w:rPr>
        <w:t xml:space="preserve"> </w:t>
      </w:r>
      <w:r>
        <w:rPr>
          <w:rFonts w:ascii="Arial;sans-serif" w:hAnsi="Arial;sans-serif"/>
          <w:b w:val="false"/>
          <w:color w:val="231F20"/>
          <w:sz w:val="20"/>
        </w:rPr>
        <w:t>present</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information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consolidated</w:t>
      </w:r>
      <w:r>
        <w:rPr>
          <w:color w:val="231F20"/>
        </w:rPr>
        <w:t xml:space="preserve"> </w:t>
      </w:r>
      <w:r>
        <w:rPr>
          <w:rFonts w:ascii="Arial;sans-serif" w:hAnsi="Arial;sans-serif"/>
          <w:b w:val="false"/>
          <w:color w:val="231F20"/>
          <w:sz w:val="20"/>
        </w:rPr>
        <w:t>balance</w:t>
      </w:r>
      <w:r>
        <w:rPr>
          <w:color w:val="231F20"/>
        </w:rPr>
        <w:t xml:space="preserve"> </w:t>
      </w:r>
      <w:r>
        <w:rPr>
          <w:rFonts w:ascii="Arial;sans-serif" w:hAnsi="Arial;sans-serif"/>
          <w:b w:val="false"/>
          <w:color w:val="231F20"/>
          <w:sz w:val="20"/>
        </w:rPr>
        <w:t>sheets</w:t>
      </w:r>
      <w:r>
        <w:rPr>
          <w:color w:val="231F20"/>
        </w:rPr>
        <w:t xml:space="preserve"> </w:t>
      </w:r>
      <w:r>
        <w:rPr>
          <w:rFonts w:ascii="Arial;sans-serif" w:hAnsi="Arial;sans-serif"/>
          <w:b w:val="false"/>
          <w:color w:val="231F20"/>
          <w:sz w:val="20"/>
        </w:rPr>
        <w:t>components:</w:t>
      </w:r>
    </w:p>
    <w:tbl>
      <w:tblPr>
        <w:tblW w:w="6563" w:type="dxa"/>
        <w:jc w:val="left"/>
        <w:tblInd w:w="0" w:type="dxa"/>
        <w:tblLayout w:type="fixed"/>
        <w:tblCellMar>
          <w:top w:w="28" w:type="dxa"/>
          <w:left w:w="28" w:type="dxa"/>
          <w:bottom w:w="28" w:type="dxa"/>
          <w:right w:w="28" w:type="dxa"/>
        </w:tblCellMar>
      </w:tblPr>
      <w:tblGrid>
        <w:gridCol w:w="1488"/>
        <w:gridCol w:w="1308"/>
        <w:gridCol w:w="1313"/>
        <w:gridCol w:w="211"/>
        <w:gridCol w:w="721"/>
        <w:gridCol w:w="109"/>
        <w:gridCol w:w="109"/>
        <w:gridCol w:w="109"/>
        <w:gridCol w:w="109"/>
        <w:gridCol w:w="211"/>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Property</w:t>
            </w:r>
            <w:r>
              <w:rPr>
                <w:color w:val="000000"/>
              </w:rPr>
              <w:t xml:space="preserve"> </w:t>
            </w:r>
            <w:r>
              <w:rPr>
                <w:rFonts w:ascii="Arial;sans-serif" w:hAnsi="Arial;sans-serif"/>
                <w:b/>
                <w:color w:val="000000"/>
                <w:sz w:val="18"/>
              </w:rPr>
              <w:t>and equipment,</w:t>
            </w:r>
            <w:r>
              <w:rPr>
                <w:color w:val="000000"/>
              </w:rPr>
              <w:t xml:space="preserve"> </w:t>
            </w:r>
            <w:r>
              <w:rPr>
                <w:rFonts w:ascii="Arial;sans-serif" w:hAnsi="Arial;sans-serif"/>
                <w:b/>
                <w:color w:val="000000"/>
                <w:sz w:val="18"/>
              </w:rPr>
              <w:t>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Laboratory</w:t>
            </w:r>
            <w:r>
              <w:rPr>
                <w:color w:val="231F20"/>
              </w:rPr>
              <w:t xml:space="preserve"> </w:t>
            </w:r>
            <w:r>
              <w:rPr>
                <w:rFonts w:ascii="Arial;sans-serif" w:hAnsi="Arial;sans-serif"/>
                <w:b w:val="false"/>
                <w:color w:val="231F20"/>
                <w:sz w:val="18"/>
              </w:rPr>
              <w:t>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Computer</w:t>
            </w:r>
            <w:r>
              <w:rPr>
                <w:color w:val="231F20"/>
              </w:rPr>
              <w:t xml:space="preserve"> </w:t>
            </w:r>
            <w:r>
              <w:rPr>
                <w:rFonts w:ascii="Arial;sans-serif" w:hAnsi="Arial;sans-serif"/>
                <w:b w:val="false"/>
                <w:color w:val="231F20"/>
                <w:sz w:val="18"/>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Furniture</w:t>
            </w:r>
            <w:r>
              <w:rPr>
                <w:color w:val="231F20"/>
              </w:rPr>
              <w:t xml:space="preserve"> </w:t>
            </w:r>
            <w:r>
              <w:rPr>
                <w:rFonts w:ascii="Arial;sans-serif" w:hAnsi="Arial;sans-serif"/>
                <w:b w:val="false"/>
                <w:color w:val="231F20"/>
                <w:sz w:val="18"/>
              </w:rPr>
              <w:t>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Computer</w:t>
            </w:r>
            <w:r>
              <w:rPr>
                <w:color w:val="231F20"/>
              </w:rPr>
              <w:t xml:space="preserve"> </w:t>
            </w:r>
            <w:r>
              <w:rPr>
                <w:rFonts w:ascii="Arial;sans-serif" w:hAnsi="Arial;sans-serif"/>
                <w:b w:val="false"/>
                <w:color w:val="231F20"/>
                <w:sz w:val="18"/>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Leasehold</w:t>
            </w:r>
            <w:r>
              <w:rPr>
                <w:color w:val="231F20"/>
              </w:rPr>
              <w:t xml:space="preserve"> </w:t>
            </w:r>
            <w:r>
              <w:rPr>
                <w:rFonts w:ascii="Arial;sans-serif" w:hAnsi="Arial;sans-serif"/>
                <w:b w:val="false"/>
                <w:color w:val="231F20"/>
                <w:sz w:val="18"/>
              </w:rPr>
              <w:t>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Construction-in-process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pPr>
            <w:r>
              <w:rPr>
                <w:rFonts w:ascii="Arial;sans-serif" w:hAnsi="Arial;sans-serif"/>
                <w:b w:val="false"/>
                <w:color w:val="231F20"/>
                <w:sz w:val="18"/>
              </w:rPr>
              <w:t>Property</w:t>
            </w:r>
            <w:r>
              <w:rPr>
                <w:color w:val="231F20"/>
              </w:rPr>
              <w:t xml:space="preserve"> </w:t>
            </w:r>
            <w:r>
              <w:rPr>
                <w:rFonts w:ascii="Arial;sans-serif" w:hAnsi="Arial;sans-serif"/>
                <w:b w:val="false"/>
                <w:color w:val="231F20"/>
                <w:sz w:val="18"/>
              </w:rPr>
              <w:t>and equipment,</w:t>
            </w:r>
            <w:r>
              <w:rPr>
                <w:color w:val="231F20"/>
              </w:rPr>
              <w:t xml:space="preserve"> </w:t>
            </w:r>
            <w:r>
              <w:rPr>
                <w:rFonts w:ascii="Arial;sans-serif" w:hAnsi="Arial;sans-serif"/>
                <w:b w:val="false"/>
                <w:color w:val="231F20"/>
                <w:sz w:val="18"/>
              </w:rPr>
              <w:t>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122,266 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122,941 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231F20"/>
                <w:sz w:val="18"/>
              </w:rPr>
              <w:t>Less accumulated</w:t>
            </w:r>
            <w:r>
              <w:rPr>
                <w:color w:val="231F20"/>
              </w:rPr>
              <w:t xml:space="preserve"> </w:t>
            </w:r>
            <w:r>
              <w:rPr>
                <w:rFonts w:ascii="Arial;sans-serif" w:hAnsi="Arial;sans-serif"/>
                <w:b w:val="false"/>
                <w:color w:val="231F20"/>
                <w:sz w:val="18"/>
              </w:rPr>
              <w:t>depreciation</w:t>
            </w:r>
            <w:r>
              <w:rPr>
                <w:color w:val="231F20"/>
              </w:rPr>
              <w:t xml:space="preserve"> </w:t>
            </w:r>
            <w:r>
              <w:rPr>
                <w:rFonts w:ascii="Arial;sans-serif" w:hAnsi="Arial;sans-serif"/>
                <w:b w:val="false"/>
                <w:color w:val="231F20"/>
                <w:sz w:val="18"/>
              </w:rPr>
              <w:t>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51,813 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3" w:type="dxa"/>
        <w:jc w:val="center"/>
        <w:tblInd w:w="0" w:type="dxa"/>
        <w:tblLayout w:type="fixed"/>
        <w:tblCellMar>
          <w:top w:w="28" w:type="dxa"/>
          <w:left w:w="28" w:type="dxa"/>
          <w:bottom w:w="28" w:type="dxa"/>
          <w:right w:w="28" w:type="dxa"/>
        </w:tblCellMar>
      </w:tblPr>
      <w:tblGrid>
        <w:gridCol w:w="1022"/>
        <w:gridCol w:w="896"/>
        <w:gridCol w:w="901"/>
        <w:gridCol w:w="211"/>
        <w:gridCol w:w="721"/>
        <w:gridCol w:w="109"/>
        <w:gridCol w:w="109"/>
        <w:gridCol w:w="109"/>
        <w:gridCol w:w="109"/>
        <w:gridCol w:w="211"/>
        <w:gridCol w:w="721"/>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 December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Accounts Receivable,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accounts receivable, gross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28" w:type="dxa"/>
        <w:jc w:val="center"/>
        <w:tblInd w:w="0" w:type="dxa"/>
        <w:tblLayout w:type="fixed"/>
        <w:tblCellMar>
          <w:top w:w="28" w:type="dxa"/>
          <w:left w:w="28" w:type="dxa"/>
          <w:bottom w:w="28" w:type="dxa"/>
          <w:right w:w="28" w:type="dxa"/>
        </w:tblCellMar>
      </w:tblPr>
      <w:tblGrid>
        <w:gridCol w:w="1986"/>
        <w:gridCol w:w="1739"/>
        <w:gridCol w:w="1749"/>
        <w:gridCol w:w="211"/>
        <w:gridCol w:w="721"/>
        <w:gridCol w:w="109"/>
        <w:gridCol w:w="109"/>
        <w:gridCol w:w="109"/>
        <w:gridCol w:w="109"/>
        <w:gridCol w:w="211"/>
        <w:gridCol w:w="72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 December 31,</w:t>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2024</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Accrued liabilities</w:t>
            </w:r>
          </w:p>
        </w:tc>
        <w:tc>
          <w:tcPr>
            <w:tcW w:w="1041"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1" w:before="240" w:after="283"/>
              <w:jc w:val="left"/>
              <w:rPr/>
            </w:pPr>
            <w:r>
              <w:rPr>
                <w:rFonts w:ascii="Arial;sans-serif" w:hAnsi="Arial;sans-serif"/>
                <w:b w:val="false"/>
                <w:color w:val="000000"/>
                <w:sz w:val="18"/>
              </w:rPr>
              <w:t>Accrued</w:t>
            </w:r>
            <w:r>
              <w:rPr>
                <w:color w:val="000000"/>
              </w:rPr>
              <w:t xml:space="preserve"> </w:t>
            </w:r>
            <w:r>
              <w:rPr>
                <w:rFonts w:ascii="Arial;sans-serif" w:hAnsi="Arial;sans-serif"/>
                <w:b w:val="false"/>
                <w:color w:val="000000"/>
                <w:sz w:val="18"/>
              </w:rPr>
              <w:t>compensation</w:t>
            </w:r>
            <w:r>
              <w:rPr>
                <w:color w:val="000000"/>
              </w:rPr>
              <w:t xml:space="preserve"> </w:t>
            </w:r>
            <w:r>
              <w:rPr>
                <w:rFonts w:ascii="Arial;sans-serif" w:hAnsi="Arial;sans-serif"/>
                <w:b w:val="false"/>
                <w:color w:val="000000"/>
                <w:sz w:val="18"/>
              </w:rPr>
              <w:t>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68" w:before="240" w:after="283"/>
              <w:jc w:val="left"/>
              <w:rPr>
                <w:rFonts w:ascii="Arial;sans-serif" w:hAnsi="Arial;sans-serif"/>
                <w:b w:val="false"/>
                <w:color w:val="000000"/>
                <w:sz w:val="18"/>
              </w:rPr>
            </w:pPr>
            <w:r>
              <w:rPr>
                <w:rFonts w:ascii="Arial;sans-serif" w:hAnsi="Arial;sans-serif"/>
                <w:b w:val="false"/>
                <w:color w:val="000000"/>
                <w:sz w:val="18"/>
              </w:rPr>
              <w:t>Accrued clinical studies and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68" w:before="240" w:after="283"/>
              <w:jc w:val="left"/>
              <w:rPr>
                <w:rFonts w:ascii="Arial;sans-serif" w:hAnsi="Arial;sans-serif"/>
                <w:b w:val="false"/>
                <w:color w:val="000000"/>
                <w:sz w:val="18"/>
              </w:rPr>
            </w:pPr>
            <w:r>
              <w:rPr>
                <w:rFonts w:ascii="Arial;sans-serif" w:hAnsi="Arial;sans-serif"/>
                <w:b w:val="false"/>
                <w:color w:val="000000"/>
                <w:sz w:val="18"/>
              </w:rPr>
              <w:t>Accrued legal and professional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68" w:before="240" w:after="283"/>
              <w:jc w:val="left"/>
              <w:rPr>
                <w:rFonts w:ascii="Arial;sans-serif" w:hAnsi="Arial;sans-serif"/>
                <w:b w:val="false"/>
                <w:color w:val="000000"/>
                <w:sz w:val="18"/>
              </w:rPr>
            </w:pPr>
            <w:r>
              <w:rPr>
                <w:rFonts w:ascii="Arial;sans-serif" w:hAnsi="Arial;sans-serif"/>
                <w:b w:val="false"/>
                <w:color w:val="000000"/>
                <w:sz w:val="18"/>
              </w:rPr>
              <w:t>Accrued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57,241 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83845"/>
                <wp:effectExtent l="0" t="0" r="0" b="0"/>
                <wp:wrapNone/>
                <wp:docPr id="189" name="Frame18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 FAIR VALUE MEASUREMENTS, CASH EQUIVALENTS AND MARKETABLE SECURITIES</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following tables represent the fair value hierarchy for the Company’s financial assets measured at fair value on a recurring basis as of December 31, 2025 and </w:t>
      </w:r>
      <w:r>
        <w:rPr>
          <w:rFonts w:ascii="Arial;sans-serif" w:hAnsi="Arial;sans-serif"/>
          <w:b w:val="false"/>
          <w:color w:val="000000"/>
          <w:sz w:val="20"/>
        </w:rPr>
        <w:t>December 31, 2024</w:t>
      </w:r>
      <w:r>
        <w:rPr>
          <w:rFonts w:ascii="Arial;sans-serif" w:hAnsi="Arial;sans-serif"/>
          <w:b w:val="false"/>
          <w:color w:val="231F20"/>
          <w:sz w:val="20"/>
        </w:rPr>
        <w:t>:</w:t>
      </w:r>
    </w:p>
    <w:tbl>
      <w:tblPr>
        <w:tblW w:w="7949" w:type="dxa"/>
        <w:jc w:val="left"/>
        <w:tblInd w:w="0" w:type="dxa"/>
        <w:tblLayout w:type="fixed"/>
        <w:tblCellMar>
          <w:top w:w="28" w:type="dxa"/>
          <w:left w:w="28" w:type="dxa"/>
          <w:bottom w:w="28" w:type="dxa"/>
          <w:right w:w="28" w:type="dxa"/>
        </w:tblCellMar>
      </w:tblPr>
      <w:tblGrid>
        <w:gridCol w:w="1153"/>
        <w:gridCol w:w="1009"/>
        <w:gridCol w:w="101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Level 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 short-term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49" w:type="dxa"/>
        <w:jc w:val="left"/>
        <w:tblInd w:w="0" w:type="dxa"/>
        <w:tblLayout w:type="fixed"/>
        <w:tblCellMar>
          <w:top w:w="28" w:type="dxa"/>
          <w:left w:w="28" w:type="dxa"/>
          <w:bottom w:w="28" w:type="dxa"/>
          <w:right w:w="28" w:type="dxa"/>
        </w:tblCellMar>
      </w:tblPr>
      <w:tblGrid>
        <w:gridCol w:w="1153"/>
        <w:gridCol w:w="1009"/>
        <w:gridCol w:w="101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2024</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Level 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 short-term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549,236 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549,236 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01"/>
              <w:jc w:val="left"/>
              <w:rPr>
                <w:rFonts w:ascii="Arial;sans-serif" w:hAnsi="Arial;sans-serif"/>
                <w:b w:val="false"/>
                <w:color w:val="231F20"/>
                <w:sz w:val="18"/>
              </w:rPr>
            </w:pPr>
            <w:r>
              <w:rPr>
                <w:rFonts w:ascii="Arial;sans-serif" w:hAnsi="Arial;sans-serif"/>
                <w:b w:val="false"/>
                <w:color w:val="231F2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761,375 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761,375 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following tables summarize the Company’s cash equivalents and marketable securities’ amortized costs, gross unrealized gains, </w:t>
      </w:r>
      <w:r>
        <w:rPr>
          <w:rFonts w:ascii="Arial;sans-serif" w:hAnsi="Arial;sans-serif"/>
          <w:b w:val="false"/>
          <w:color w:val="231F20"/>
          <w:sz w:val="20"/>
        </w:rPr>
        <w:t>gross</w:t>
      </w:r>
      <w:r>
        <w:rPr>
          <w:color w:val="000000"/>
        </w:rPr>
        <w:t xml:space="preserve"> </w:t>
      </w:r>
      <w:r>
        <w:rPr>
          <w:rFonts w:ascii="Arial;sans-serif" w:hAnsi="Arial;sans-serif"/>
          <w:b w:val="false"/>
          <w:color w:val="000000"/>
          <w:sz w:val="20"/>
        </w:rPr>
        <w:t>unrealized losses and estimated fair values by significant investment category:</w:t>
      </w:r>
    </w:p>
    <w:tbl>
      <w:tblPr>
        <w:tblW w:w="8316" w:type="dxa"/>
        <w:jc w:val="center"/>
        <w:tblInd w:w="0" w:type="dxa"/>
        <w:tblLayout w:type="fixed"/>
        <w:tblCellMar>
          <w:top w:w="28" w:type="dxa"/>
          <w:left w:w="28" w:type="dxa"/>
          <w:bottom w:w="28" w:type="dxa"/>
          <w:right w:w="28" w:type="dxa"/>
        </w:tblCellMar>
      </w:tblPr>
      <w:tblGrid>
        <w:gridCol w:w="929"/>
        <w:gridCol w:w="816"/>
        <w:gridCol w:w="820"/>
        <w:gridCol w:w="248"/>
        <w:gridCol w:w="973"/>
        <w:gridCol w:w="128"/>
        <w:gridCol w:w="109"/>
        <w:gridCol w:w="109"/>
        <w:gridCol w:w="109"/>
        <w:gridCol w:w="529"/>
        <w:gridCol w:w="1172"/>
        <w:gridCol w:w="278"/>
        <w:gridCol w:w="109"/>
        <w:gridCol w:w="109"/>
        <w:gridCol w:w="109"/>
        <w:gridCol w:w="313"/>
        <w:gridCol w:w="1228"/>
        <w:gridCol w:w="22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Estimated Fair Value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63,195 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838,368 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838,744 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901,563 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376 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901,939 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6" w:type="dxa"/>
        <w:jc w:val="left"/>
        <w:tblInd w:w="0" w:type="dxa"/>
        <w:tblLayout w:type="fixed"/>
        <w:tblCellMar>
          <w:top w:w="28" w:type="dxa"/>
          <w:left w:w="28" w:type="dxa"/>
          <w:bottom w:w="28" w:type="dxa"/>
          <w:right w:w="28" w:type="dxa"/>
        </w:tblCellMar>
      </w:tblPr>
      <w:tblGrid>
        <w:gridCol w:w="929"/>
        <w:gridCol w:w="816"/>
        <w:gridCol w:w="820"/>
        <w:gridCol w:w="248"/>
        <w:gridCol w:w="973"/>
        <w:gridCol w:w="128"/>
        <w:gridCol w:w="109"/>
        <w:gridCol w:w="109"/>
        <w:gridCol w:w="109"/>
        <w:gridCol w:w="529"/>
        <w:gridCol w:w="1172"/>
        <w:gridCol w:w="278"/>
        <w:gridCol w:w="109"/>
        <w:gridCol w:w="109"/>
        <w:gridCol w:w="109"/>
        <w:gridCol w:w="313"/>
        <w:gridCol w:w="1228"/>
        <w:gridCol w:w="22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31F20"/>
                <w:sz w:val="16"/>
              </w:rPr>
            </w:pPr>
            <w:r>
              <w:rPr>
                <w:rFonts w:ascii="Arial;sans-serif" w:hAnsi="Arial;sans-serif"/>
                <w:b/>
                <w:color w:val="231F2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Estimated Fair Value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Money market funds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94,697 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94,697 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U.S. government treasury bills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666,412 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666,678 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761,109 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266 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761,375 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All of the Company’s marketable securities had maturities of less than one year.</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There were no marketable securities in an unrealized loss position as of December 31, 2025 and December 31, 2024. Accordingly, no credit loss impairment was recognized as of December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83845"/>
                <wp:effectExtent l="0" t="0" r="0" b="0"/>
                <wp:wrapNone/>
                <wp:docPr id="190" name="Frame18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 COMMON STOCK</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Private Investment of Public Equity (the “PIPE”)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18, 2025, the Company entered into a securities purchase agreement (the "Purchase Agreement") with certain investors for the private placement of (i) 2,640,970 shares of GRAIL's common stock at a price of $70.05 per share and (ii) pre-funded warrants to purchase an aggregate of 1,998,573 shares of GRAIL’s common stock (the "Pre-Funded Warrants") at a purchase price of $70.049 per Pre-Funded Warrant, which represents the per share price for the common stock less the $0.001 exercise price. The PIPE closed on October 21, 2025, at which time the Company received aggregate net proceeds of $311.3 million, after deducting issuance costs of $13.7 million.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All of the Pre-Funded Warrants issued in the PIPE were outstanding as of December 31, 2025.</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At the Market Equity Distribution Program (the “ATM Program”)</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November 14, 2025, the Company entered into an equity distribution agreement (“Equity Distribution Agreement”), with certain sales agents, establishing an ATM Program under which the Company may offer and sell shares of its common stock, having an aggregate offering price of $300.0 million or up to 6,900,000 shares of common stock.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2025, the Company issued 1,169,218 shares of its common stock and the Company received aggregate net proceeds of $107.5 million, after deducting issuance costs of $3.2 million. As of December 31, 2025, $189.3 million worth of shares of common stock remained available for sale pursuant to the ATM Program.</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Samsung Stock Purchase Agreement (the “Samsung SPA”)</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On October 16, 2025, the Company entered into a stock purchase agreement (the “Samsung SPA”), by and among the Company, Samsung C&amp;T Corporation (“Samsung C&amp;T”), Samsung Electronics Singapore Pte. Ltd. (together with Samsung C&amp;T, the “Samsung Investors”) and Samsung Electronics Co., Ltd. (“Samsung Electronics”), providing for the issuance and sale by the Company to the Samsung Investors in a private placement of an aggregate of 1,570,308 shares of GRAIL’s common stock, at a purchase price of $70.05 per share, upon the terms and conditions set forth in the Samsung SPA, including closing conditions, for aggregate gross proceeds of approximately $110.0 million (the “Samsung Investment”).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is also subject to a number of obligations described in the Samsung Stock Purchase Agreement. The Samsung Stock Purchase Agreement contains customary representations, warranties and agreements by the Company, indemnification obligations of the Company and the Samsung Investors for liabilities under the Securities Act of 1933, as amended (the “Securities Act”), and other obligations of the parties.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intends to use the net proceeds from the Samsung Investment to fund its commercial activities and reimbursement efforts, as well as for working capital and other general corporate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83845"/>
                <wp:effectExtent l="0" t="0" r="0" b="0"/>
                <wp:wrapNone/>
                <wp:docPr id="191" name="Frame18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color w:val="000000"/>
          <w:sz w:val="20"/>
        </w:rPr>
        <w:t>NOTE 8.</w:t>
      </w:r>
      <w:r>
        <w:rPr>
          <w:color w:val="231F20"/>
        </w:rPr>
        <w:t xml:space="preserve"> </w:t>
      </w:r>
      <w:r>
        <w:rPr>
          <w:rFonts w:ascii="Arial;sans-serif" w:hAnsi="Arial;sans-serif"/>
          <w:b/>
          <w:color w:val="000000"/>
          <w:sz w:val="20"/>
        </w:rPr>
        <w:t>STOCK-BASED COMPENSATION</w:t>
      </w:r>
    </w:p>
    <w:p>
      <w:pPr>
        <w:pStyle w:val="TextBody"/>
        <w:bidi w:val="0"/>
        <w:spacing w:lineRule="auto" w:line="288" w:before="240" w:after="24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components of stock-based compensation expense for both equity and liability-classified awards recognized in our consolidated statements of operations was as follows: </w:t>
      </w:r>
    </w:p>
    <w:tbl>
      <w:tblPr>
        <w:tblW w:w="9788" w:type="dxa"/>
        <w:jc w:val="left"/>
        <w:tblInd w:w="0" w:type="dxa"/>
        <w:tblLayout w:type="fixed"/>
        <w:tblCellMar>
          <w:top w:w="28" w:type="dxa"/>
          <w:left w:w="28" w:type="dxa"/>
          <w:bottom w:w="28" w:type="dxa"/>
          <w:right w:w="28" w:type="dxa"/>
        </w:tblCellMar>
      </w:tblPr>
      <w:tblGrid>
        <w:gridCol w:w="1582"/>
        <w:gridCol w:w="1387"/>
        <w:gridCol w:w="1395"/>
        <w:gridCol w:w="319"/>
        <w:gridCol w:w="1091"/>
        <w:gridCol w:w="165"/>
        <w:gridCol w:w="109"/>
        <w:gridCol w:w="109"/>
        <w:gridCol w:w="109"/>
        <w:gridCol w:w="319"/>
        <w:gridCol w:w="1091"/>
        <w:gridCol w:w="165"/>
        <w:gridCol w:w="109"/>
        <w:gridCol w:w="109"/>
        <w:gridCol w:w="109"/>
        <w:gridCol w:w="275"/>
        <w:gridCol w:w="940"/>
        <w:gridCol w:w="405"/>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RSUs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54,564 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29,774 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1,127 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ESPP</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PSOs</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577 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Cash-based equity awards</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54,796 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95,531 </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Arial;sans-serif" w:hAnsi="Arial;sans-serif"/>
                <w:b w:val="false"/>
                <w:color w:val="231F20"/>
                <w:sz w:val="18"/>
              </w:rPr>
            </w:pPr>
            <w:r>
              <w:rPr>
                <w:rFonts w:ascii="Arial;sans-serif" w:hAnsi="Arial;sans-serif"/>
                <w:b w:val="false"/>
                <w:color w:val="231F20"/>
                <w:sz w:val="18"/>
              </w:rPr>
              <w:t>Stock-based compensation expense, before taxes</w:t>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58,283 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86,084 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97,235 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Related income tax benefits</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(13,708)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(23,455)</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Stock-based compensation expense, net of taxes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44,575 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65,194 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73,780 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Stock-based compensation expense for both equity and liability-classified awards, reported in our consolidated statements of operations was as follows: </w:t>
      </w:r>
    </w:p>
    <w:tbl>
      <w:tblPr>
        <w:tblW w:w="10205" w:type="dxa"/>
        <w:jc w:val="center"/>
        <w:tblInd w:w="0" w:type="dxa"/>
        <w:tblLayout w:type="fixed"/>
        <w:tblCellMar>
          <w:top w:w="28" w:type="dxa"/>
          <w:left w:w="28" w:type="dxa"/>
          <w:bottom w:w="28" w:type="dxa"/>
          <w:right w:w="28" w:type="dxa"/>
        </w:tblCellMar>
      </w:tblPr>
      <w:tblGrid>
        <w:gridCol w:w="1920"/>
        <w:gridCol w:w="1579"/>
        <w:gridCol w:w="1587"/>
        <w:gridCol w:w="296"/>
        <w:gridCol w:w="1012"/>
        <w:gridCol w:w="153"/>
        <w:gridCol w:w="109"/>
        <w:gridCol w:w="109"/>
        <w:gridCol w:w="109"/>
        <w:gridCol w:w="296"/>
        <w:gridCol w:w="1012"/>
        <w:gridCol w:w="153"/>
        <w:gridCol w:w="109"/>
        <w:gridCol w:w="109"/>
        <w:gridCol w:w="109"/>
        <w:gridCol w:w="261"/>
        <w:gridCol w:w="893"/>
        <w:gridCol w:w="389"/>
      </w:tblGrid>
      <w:tr>
        <w:trPr/>
        <w:tc>
          <w:tcPr>
            <w:tcW w:w="192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r>
      <w:tr>
        <w:trPr/>
        <w:tc>
          <w:tcPr>
            <w:tcW w:w="5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ind w:left="0" w:right="0" w:hanging="202"/>
              <w:jc w:val="center"/>
              <w:rPr>
                <w:rFonts w:ascii="Arial;sans-serif" w:hAnsi="Arial;sans-serif"/>
                <w:b/>
                <w:color w:val="231F20"/>
                <w:sz w:val="16"/>
              </w:rPr>
            </w:pPr>
            <w:r>
              <w:rPr>
                <w:rFonts w:ascii="Arial;sans-serif" w:hAnsi="Arial;sans-serif"/>
                <w:b/>
                <w:color w:val="231F20"/>
                <w:sz w:val="16"/>
              </w:rPr>
              <w:t>December 31, 2023</w:t>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Cost of screening revenue (exclusive of amortization of intangible assets)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1,932 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development services revenue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15,986 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30,701 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39,792 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10,871 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15,310 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17,506 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29,164 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38,119 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37,967 </w:t>
            </w:r>
          </w:p>
        </w:tc>
        <w:tc>
          <w:tcPr>
            <w:tcW w:w="38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Arial;sans-serif" w:hAnsi="Arial;sans-serif"/>
                <w:b w:val="false"/>
                <w:color w:val="231F20"/>
                <w:sz w:val="18"/>
              </w:rPr>
            </w:pPr>
            <w:r>
              <w:rPr>
                <w:rFonts w:ascii="Arial;sans-serif" w:hAnsi="Arial;sans-serif"/>
                <w:b w:val="false"/>
                <w:color w:val="231F20"/>
                <w:sz w:val="18"/>
              </w:rPr>
              <w:t>Stock-based compensation expense, before taxes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58,283 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86,084 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97,235 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Related income tax benefits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(13,708)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(20,890)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(23,455)</w:t>
            </w:r>
          </w:p>
        </w:tc>
        <w:tc>
          <w:tcPr>
            <w:tcW w:w="389" w:type="dxa"/>
            <w:tcBorders/>
            <w:shd w:fill="CCEEFF" w:val="clear"/>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508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Stock-based compensation expense, net of taxes</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44,575 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65,194 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73,780 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000000"/>
          <w:sz w:val="20"/>
        </w:rPr>
        <w:t xml:space="preserve">Unamortized compensation cost and weighted average service period of all unvested equity classified awards as of </w:t>
      </w:r>
      <w:r>
        <w:rPr>
          <w:rFonts w:ascii="Arial;sans-serif" w:hAnsi="Arial;sans-serif"/>
          <w:b w:val="false"/>
          <w:color w:val="231F20"/>
          <w:sz w:val="20"/>
        </w:rPr>
        <w:t>December 31, 2025</w:t>
      </w:r>
      <w:r>
        <w:rPr>
          <w:color w:val="000000"/>
        </w:rPr>
        <w:t xml:space="preserve"> </w:t>
      </w:r>
      <w:r>
        <w:rPr>
          <w:rFonts w:ascii="Arial;sans-serif" w:hAnsi="Arial;sans-serif"/>
          <w:b w:val="false"/>
          <w:color w:val="000000"/>
          <w:sz w:val="20"/>
        </w:rPr>
        <w:t>was as follows:</w:t>
      </w:r>
    </w:p>
    <w:p>
      <w:pPr>
        <w:pStyle w:val="TextBody"/>
        <w:bidi w:val="0"/>
        <w:spacing w:before="0" w:after="0"/>
        <w:ind w:left="0" w:right="0" w:firstLine="450"/>
        <w:jc w:val="left"/>
        <w:rPr/>
      </w:pPr>
      <w:r>
        <w:rPr/>
      </w:r>
    </w:p>
    <w:tbl>
      <w:tblPr>
        <w:tblW w:w="9639" w:type="dxa"/>
        <w:jc w:val="left"/>
        <w:tblInd w:w="0" w:type="dxa"/>
        <w:tblLayout w:type="fixed"/>
        <w:tblCellMar>
          <w:top w:w="28" w:type="dxa"/>
          <w:left w:w="28" w:type="dxa"/>
          <w:bottom w:w="28" w:type="dxa"/>
          <w:right w:w="28" w:type="dxa"/>
        </w:tblCellMar>
      </w:tblPr>
      <w:tblGrid>
        <w:gridCol w:w="1174"/>
        <w:gridCol w:w="1037"/>
        <w:gridCol w:w="1043"/>
        <w:gridCol w:w="576"/>
        <w:gridCol w:w="1972"/>
        <w:gridCol w:w="301"/>
        <w:gridCol w:w="109"/>
        <w:gridCol w:w="109"/>
        <w:gridCol w:w="109"/>
        <w:gridCol w:w="938"/>
        <w:gridCol w:w="938"/>
        <w:gridCol w:w="1333"/>
      </w:tblGrid>
      <w:tr>
        <w:trPr/>
        <w:tc>
          <w:tcPr>
            <w:tcW w:w="117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Unamortized Compensation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450"/>
              <w:jc w:val="center"/>
              <w:rPr>
                <w:rFonts w:ascii="Arial;sans-serif" w:hAnsi="Arial;sans-serif"/>
                <w:b/>
                <w:color w:val="231F20"/>
                <w:sz w:val="16"/>
              </w:rPr>
            </w:pPr>
            <w:r>
              <w:rPr>
                <w:rFonts w:ascii="Arial;sans-serif" w:hAnsi="Arial;sans-serif"/>
                <w:b/>
                <w:color w:val="231F20"/>
                <w:sz w:val="16"/>
              </w:rPr>
              <w:t>Weighted Average Service Period</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years)</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RSUs and PSUs</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76,895 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PSOs</w:t>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ESPP</w:t>
            </w:r>
          </w:p>
        </w:tc>
        <w:tc>
          <w:tcPr>
            <w:tcW w:w="2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Total unamortized compensation costs</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79,046 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83845"/>
                <wp:effectExtent l="0" t="0" r="0" b="0"/>
                <wp:wrapNone/>
                <wp:docPr id="192" name="Frame18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179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40"/>
        <w:ind w:left="0" w:right="0" w:firstLine="90"/>
        <w:jc w:val="left"/>
        <w:rPr>
          <w:rFonts w:ascii="Arial;sans-serif" w:hAnsi="Arial;sans-serif"/>
          <w:b/>
          <w:i/>
          <w:color w:val="000000"/>
          <w:sz w:val="20"/>
        </w:rPr>
      </w:pPr>
      <w:r>
        <w:rPr>
          <w:rFonts w:ascii="Arial;sans-serif" w:hAnsi="Arial;sans-serif"/>
          <w:b/>
          <w:i/>
          <w:color w:val="000000"/>
          <w:sz w:val="20"/>
        </w:rPr>
        <w:t>2024 Incentive Award Plan</w:t>
      </w:r>
    </w:p>
    <w:p>
      <w:pPr>
        <w:pStyle w:val="TextBody"/>
        <w:bidi w:val="0"/>
        <w:spacing w:lineRule="auto" w:line="288" w:before="240" w:after="283"/>
        <w:ind w:left="0" w:right="0" w:firstLine="450"/>
        <w:jc w:val="left"/>
        <w:rPr/>
      </w:pPr>
      <w:r>
        <w:rPr>
          <w:rFonts w:ascii="Arial;sans-serif" w:hAnsi="Arial;sans-serif"/>
          <w:b w:val="false"/>
          <w:color w:val="000000"/>
          <w:sz w:val="20"/>
        </w:rPr>
        <w:t>The GRAIL, Inc. 2024 Incentive Award Plan (the “2024 Plan”) was adopted by the Company and approved by Illumina, in its capacity as GRAIL’s sole stockholder, in May 2024 to facilitate the grant of cash and equity incentive awards to non-employee directors, employees, and consultants of the Company and its subsidiaries and to enhance the ability of the Company and any of its subsidiaries to obtain and retain the services of these individuals following the Spin-Off. This plan authorizes the issuance of stock options, stock appreciation rights, restricted stock, restricted stock units, dividend equivalents, performance-based awards, and other stock or cash based awards</w:t>
      </w:r>
      <w:r>
        <w:rPr>
          <w:rFonts w:ascii="Arial;sans-serif" w:hAnsi="Arial;sans-serif"/>
          <w:b w:val="false"/>
          <w:color w:val="000000"/>
          <w:sz w:val="20"/>
          <w:shd w:fill="FFFFFF" w:val="clear"/>
        </w:rPr>
        <w:t>. T</w:t>
      </w:r>
      <w:r>
        <w:rPr>
          <w:rFonts w:ascii="Arial;sans-serif" w:hAnsi="Arial;sans-serif"/>
          <w:b w:val="false"/>
          <w:color w:val="000000"/>
          <w:sz w:val="20"/>
        </w:rPr>
        <w:t xml:space="preserve">he 2024 Plan is subject to an annual increase on the first day of each calendar year ending on January 1, 2034, equal to the lesser of (i) 5% of the aggregate number of shares outstanding on the final day of the immediately preceding calendar year and (ii) such smaller number of shares as is determined by the GRAIL board of directors.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2024 Deferred Compensation Plan</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GRAIL, Inc. Deferred Compensation Plan for Directors (the “2024 Deferred Compensation Plan”) was adopted by the Company’s board of directors on July 15, 2024 to provide the Company’s non-employee directors with an opportunity to defer payment of all or a portion of their eligible compensation, consisting of cash fees and/or equity awards granted during a given year. Each director may make an irrevocable deferral election with respect to all or a portion of their eligible compensation in accordance with the terms and conditions of the 2024 Deferred Compensation Plan, deferring payment until the earlier of (i) a fixed date elected by the director (if any), (ii) the director’s separation from service, (iii) a “change in control” (as defined in the 2024 Plan) or (iv) the director’s death or permanent disability. If a director elects to defer all or a portion of their cash fees, the Company will issue a number of deferred stock units (“DSUs”) to the director equal to the portion of cash fees deferred divided by the fair market value of a share of the Company’s common stock on the date that such fees would have otherwise been paid, rounded down to the nearest whole share. If a director elects to defer their equity awards, the Company will issue a number of DSUs to the director equal to the number of shares of Company common stock underlying the deferred awards and subject to the same vesting, forfeiture and other restrictions that would have otherwise applied to such equity award absent the deferral. All DSUs will be issued under the 2024 Plan. </w:t>
      </w:r>
      <w:r>
        <w:rPr>
          <w:rFonts w:ascii="Arial;sans-serif" w:hAnsi="Arial;sans-serif"/>
          <w:b w:val="false"/>
          <w:color w:val="000000"/>
          <w:sz w:val="20"/>
          <w:shd w:fill="FFFFFF" w:val="clear"/>
        </w:rPr>
        <w:t xml:space="preserve">As of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three of our directors elected to defer their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cash fees and two of our directors elected to defer their equity awards granted in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summary of the Company’s shares available for grant under the 2024 Plan, was as follows:</w:t>
      </w:r>
    </w:p>
    <w:tbl>
      <w:tblPr>
        <w:tblW w:w="5220" w:type="dxa"/>
        <w:jc w:val="left"/>
        <w:tblInd w:w="0" w:type="dxa"/>
        <w:tblLayout w:type="fixed"/>
        <w:tblCellMar>
          <w:top w:w="28" w:type="dxa"/>
          <w:left w:w="28" w:type="dxa"/>
          <w:bottom w:w="28" w:type="dxa"/>
          <w:right w:w="28" w:type="dxa"/>
        </w:tblCellMar>
      </w:tblPr>
      <w:tblGrid>
        <w:gridCol w:w="1087"/>
        <w:gridCol w:w="955"/>
        <w:gridCol w:w="958"/>
        <w:gridCol w:w="650"/>
        <w:gridCol w:w="650"/>
        <w:gridCol w:w="920"/>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Shares Available for Grant</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December 31, 2024</w:t>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479,339</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Annual increase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1,694,670</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Awarded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(2,152,456)</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Forfeited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491,833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December 31, 2025</w:t>
            </w:r>
          </w:p>
        </w:tc>
        <w:tc>
          <w:tcPr>
            <w:tcW w:w="22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513,386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83845"/>
                <wp:effectExtent l="0" t="0" r="0" b="0"/>
                <wp:wrapNone/>
                <wp:docPr id="193" name="Frame18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hanging="90"/>
        <w:jc w:val="both"/>
        <w:rPr>
          <w:rFonts w:ascii="Arial;sans-serif" w:hAnsi="Arial;sans-serif"/>
          <w:b/>
          <w:i/>
          <w:color w:val="000000"/>
          <w:sz w:val="20"/>
        </w:rPr>
      </w:pPr>
      <w:r>
        <w:rPr>
          <w:rFonts w:ascii="Arial;sans-serif" w:hAnsi="Arial;sans-serif"/>
          <w:b/>
          <w:i/>
          <w:color w:val="000000"/>
          <w:sz w:val="20"/>
        </w:rPr>
        <w:t>2024 Inducement Award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GRAIL, Inc. 2024 Inducement Award Plan (the “2024 Inducement Plan”) was adopted by the Company’s board of directors on August 9, 2024. The 2024 Inducement Plan was adopted to enhance the ability of the Company and any of its subsidiaries to attract, retain and motivate eligible employees by providing these employees with equity ownership opportunities and/or equity-linked compensatory opportunities. The 2024 Inducement Plan is used exclusively for the grant of equity awards to prospective employees who (i) were not previously employees of the Company, or (ii) are returning to the Company following a bona fide period of non-employment, in any case, in connection with and as an inducement material to such prospective employee’s entering into employment with the Company pursuant to Nasdaq Listing Rule 5635(c)(4). The 2024 Inducement Plan authorizes the issuance of stock options, stock appreciation rights, restricted stock, restricted stock units, dividend equivalents, performance-based awards, and other stock or cash based awards. On May 14, 2025, the Company registered an additional 500,000 shares of common stock that may be issued pursuant to awards granted under the 2024 Inducement Plan. The 2024 Inducement Plan does not have a specified limit on the number of shares authorized for issuance.</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2024 Employee Stock Purchase Plan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GRAIL, Inc. 2024 Employee Stock Purchase Plan (the “ESPP”) was adopted by the Company and approved by Illumina, in its capacity as the Company’s sole stockholder, in May 2024. The number of shares of common stock available under the ESPP is subject to an annual increase on the first day of each calendar year ending on January 1, 2034, equal to the lesser of (i) 1% of the aggregate number of shares outstanding on the final day of the immediately preceding calendar year and (ii) such smaller number of shares as is determined by the Company’s board of directors.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Under the ESPP, eligible employees are offered the opportunity to purchase shares by participating in a 6-month offering period commencing in May and November of each year. Employees who participate in the ESPP may elect to have up to 15% of their eligible compensation withheld to purchase shares of the Company’s common stock. The purchase price of the Company’s common stock will be equal to 85% of the lower of (i) the fair market value of the Company’s common stock at the beginning of the applicable 6-month offering period or (ii) the fair market value of the Company’s common stock at the end of the applicable 6-month offering period. Our first offering period began in May 2025 with our first purchase date in November 2025. There were no shares issued under the ESPP during the year ended December 31, 2024.</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summary of the Company’s shares available for grant under the ESPP, was as follows:</w:t>
      </w:r>
    </w:p>
    <w:tbl>
      <w:tblPr>
        <w:tblW w:w="10035" w:type="dxa"/>
        <w:jc w:val="left"/>
        <w:tblInd w:w="0" w:type="dxa"/>
        <w:tblLayout w:type="fixed"/>
        <w:tblCellMar>
          <w:top w:w="28" w:type="dxa"/>
          <w:left w:w="28" w:type="dxa"/>
          <w:bottom w:w="28" w:type="dxa"/>
          <w:right w:w="28" w:type="dxa"/>
        </w:tblCellMar>
      </w:tblPr>
      <w:tblGrid>
        <w:gridCol w:w="2761"/>
        <w:gridCol w:w="2426"/>
        <w:gridCol w:w="2433"/>
        <w:gridCol w:w="707"/>
        <w:gridCol w:w="707"/>
        <w:gridCol w:w="1001"/>
      </w:tblGrid>
      <w:tr>
        <w:trPr/>
        <w:tc>
          <w:tcPr>
            <w:tcW w:w="276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8"/>
              </w:rPr>
            </w:pPr>
            <w:r>
              <w:rPr>
                <w:rFonts w:ascii="Arial;sans-serif" w:hAnsi="Arial;sans-serif"/>
                <w:b/>
                <w:color w:val="231F20"/>
                <w:sz w:val="18"/>
              </w:rPr>
              <w:t>Shares Available for Grant</w:t>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thousands)</w:t>
            </w:r>
          </w:p>
        </w:tc>
      </w:tr>
      <w:tr>
        <w:trPr/>
        <w:tc>
          <w:tcPr>
            <w:tcW w:w="7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December 31, 2024</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414,021</w:t>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Annual increase</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338,934</w:t>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Issued</w:t>
            </w:r>
            <w:r>
              <w:rPr>
                <w:rFonts w:ascii="Arial;sans-serif" w:hAnsi="Arial;sans-serif"/>
                <w:b w:val="false"/>
                <w:color w:val="231F20"/>
                <w:sz w:val="12"/>
              </w:rPr>
              <w:t>(1)</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(136,551)</w:t>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as of December 31, 2025</w:t>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616,404</w:t>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240" w:after="240"/>
              <w:jc w:val="left"/>
              <w:rPr/>
            </w:pPr>
            <w:r>
              <w:rPr>
                <w:rFonts w:ascii="Arial;sans-serif" w:hAnsi="Arial;sans-serif"/>
                <w:b w:val="false"/>
                <w:color w:val="231F20"/>
                <w:sz w:val="12"/>
              </w:rPr>
              <w:t xml:space="preserve">(1) </w:t>
            </w:r>
            <w:r>
              <w:rPr>
                <w:rFonts w:ascii="Arial;sans-serif" w:hAnsi="Arial;sans-serif"/>
                <w:b w:val="false"/>
                <w:color w:val="231F20"/>
                <w:sz w:val="18"/>
              </w:rPr>
              <w:t>Represent $4.5 million in cash received for the issuance of common stock under the ESPP</w:t>
            </w:r>
          </w:p>
        </w:tc>
        <w:tc>
          <w:tcPr>
            <w:tcW w:w="2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83845"/>
                <wp:effectExtent l="0" t="0" r="0" b="0"/>
                <wp:wrapNone/>
                <wp:docPr id="194" name="Frame18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40"/>
        <w:ind w:left="0" w:right="0" w:firstLine="450"/>
        <w:jc w:val="left"/>
        <w:rPr>
          <w:rFonts w:ascii="Arial;sans-serif" w:hAnsi="Arial;sans-serif"/>
          <w:b/>
          <w:i/>
          <w:color w:val="000000"/>
          <w:sz w:val="20"/>
          <w:u w:val="single"/>
        </w:rPr>
      </w:pPr>
      <w:r>
        <w:rPr>
          <w:rFonts w:ascii="Arial;sans-serif" w:hAnsi="Arial;sans-serif"/>
          <w:b/>
          <w:i/>
          <w:color w:val="000000"/>
          <w:sz w:val="20"/>
          <w:u w:val="single"/>
        </w:rPr>
        <w:t>Equity-Classified Awards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the Company granted two PSU awards (the “PSU Awards”) under the 2024 Plan with vesting conditions tied to achievement of Company-specific performance and continued service.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PSU Awards have differing vesting schedules. The first PSU Award, covering 26,000 shares, vests as to one-third of the shares subject thereto upon the achievement of a Company-specific performance condition, with the remaining two-thirds of the shares subject thereto vesting in substantially equal installments on each of the first and second anniversaries of the initial vesting date, subject to continued service through the applicable vesting date. The second PSU Award, covering 5,000 shares, vests as to 60% of the shares subject thereto upon the achievement of a Company-specific performance condition, with the remaining 40% of the shares subject thereto vesting on the first anniversary of the initial vesting date, subject to continued service through the applicable vesting date.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PSU Awards had an aggregate grant-date fair value of $1.6 million and expire, to the extent unvested, in May and November 2035, respectively.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it was not probable that the performance conditions associated with the PSU Awards will be achieved and, therefore, no stock-based compensation expense has been recognized in the consolidated financial statements. In February 2026, the performance condition of the first PSU Award was met. As a result, the Company will commence recognizing stock-based compensation expense in the consolidated financial statements for this PSU Award in Q1 2026.</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 summary of the Company’s RSUs, PSUs, and DSUs, issued under the 2024 Plan and 2024 Inducement Award Plan, were as follows:</w:t>
      </w:r>
    </w:p>
    <w:tbl>
      <w:tblPr>
        <w:tblW w:w="10205" w:type="dxa"/>
        <w:jc w:val="left"/>
        <w:tblInd w:w="0" w:type="dxa"/>
        <w:tblLayout w:type="fixed"/>
        <w:tblCellMar>
          <w:top w:w="28" w:type="dxa"/>
          <w:left w:w="28" w:type="dxa"/>
          <w:bottom w:w="28" w:type="dxa"/>
          <w:right w:w="28" w:type="dxa"/>
        </w:tblCellMar>
      </w:tblPr>
      <w:tblGrid>
        <w:gridCol w:w="1169"/>
        <w:gridCol w:w="1026"/>
        <w:gridCol w:w="1029"/>
        <w:gridCol w:w="723"/>
        <w:gridCol w:w="723"/>
        <w:gridCol w:w="725"/>
        <w:gridCol w:w="147"/>
        <w:gridCol w:w="147"/>
        <w:gridCol w:w="147"/>
        <w:gridCol w:w="1277"/>
        <w:gridCol w:w="1277"/>
        <w:gridCol w:w="1815"/>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color w:val="231F20"/>
                <w:sz w:val="16"/>
              </w:rPr>
              <w:t>Restricted Stock Units</w:t>
            </w:r>
            <w:r>
              <w:rPr>
                <w:rFonts w:ascii="Arial;sans-serif" w:hAnsi="Arial;sans-serif"/>
                <w:b/>
                <w:color w:val="231F20"/>
                <w:sz w:val="10"/>
              </w:rPr>
              <w:t>(1)</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Weighted-Average Grant-Date Fair Value Per Share</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thousands)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Outstanding at January 1, 2024</w:t>
            </w:r>
          </w:p>
        </w:tc>
        <w:tc>
          <w:tcPr>
            <w:tcW w:w="2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231F20"/>
              </w:rPr>
            </w:pPr>
            <w:r>
              <w:rPr>
                <w:color w:val="231F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Conversion</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6,485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$15.37</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Awarded</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2,833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$13.07</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Released</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(2,844)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$15.37</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Forfeited</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(951)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$15.22</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Outstanding at December 31, 2024</w:t>
            </w:r>
          </w:p>
        </w:tc>
        <w:tc>
          <w:tcPr>
            <w:tcW w:w="2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5,523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$14.22</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Awarded</w:t>
            </w:r>
            <w:r>
              <w:rPr>
                <w:rFonts w:ascii="Arial;sans-serif" w:hAnsi="Arial;sans-serif"/>
                <w:b w:val="false"/>
                <w:color w:val="231F20"/>
                <w:sz w:val="12"/>
              </w:rPr>
              <w:t>(1)</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2,407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$40.79</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Released</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(2,491)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$15.21</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Forfeited</w:t>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(576)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$22.83</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Outstanding at December 31, 2025</w:t>
            </w:r>
          </w:p>
        </w:tc>
        <w:tc>
          <w:tcPr>
            <w:tcW w:w="2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4,863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$25.84</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36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0"/>
              </w:rPr>
              <w:t>(1)</w:t>
            </w:r>
            <w:r>
              <w:rPr>
                <w:color w:val="231F20"/>
              </w:rPr>
              <w:t xml:space="preserve"> </w:t>
            </w:r>
            <w:r>
              <w:rPr>
                <w:rFonts w:ascii="Arial;sans-serif" w:hAnsi="Arial;sans-serif"/>
                <w:b w:val="false"/>
                <w:color w:val="231F20"/>
                <w:sz w:val="16"/>
              </w:rPr>
              <w:t>Includes 31,000 PSU awarded and</w:t>
            </w:r>
            <w:r>
              <w:rPr>
                <w:color w:val="000000"/>
              </w:rPr>
              <w:t xml:space="preserve"> </w:t>
            </w:r>
            <w:r>
              <w:rPr>
                <w:rFonts w:ascii="Arial;sans-serif" w:hAnsi="Arial;sans-serif"/>
                <w:b w:val="false"/>
                <w:color w:val="231F20"/>
                <w:sz w:val="16"/>
              </w:rPr>
              <w:t>30,865 DSUs vested but unreleased related to three directors that had elected to defer their 2025 cash fees and two directors that had elected to defer release of their equity awards</w:t>
            </w:r>
          </w:p>
        </w:tc>
      </w:tr>
    </w:tbl>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 xml:space="preserve">The aggregate fair value of restricted stock units outstanding as of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December 31, 2024</w:t>
      </w:r>
      <w:r>
        <w:rPr>
          <w:color w:val="000000"/>
          <w:shd w:fill="FFFFFF" w:val="clear"/>
        </w:rPr>
        <w:t xml:space="preserve"> </w:t>
      </w:r>
      <w:r>
        <w:rPr>
          <w:rFonts w:ascii="Arial;sans-serif" w:hAnsi="Arial;sans-serif"/>
          <w:b w:val="false"/>
          <w:color w:val="000000"/>
          <w:sz w:val="20"/>
          <w:shd w:fill="FFFFFF" w:val="clear"/>
        </w:rPr>
        <w:t xml:space="preserve">was $416.2 million and $98.6 million. </w:t>
      </w:r>
      <w:r>
        <w:rPr>
          <w:rFonts w:ascii="Arial;sans-serif" w:hAnsi="Arial;sans-serif"/>
          <w:b w:val="false"/>
          <w:color w:val="000000"/>
          <w:sz w:val="20"/>
        </w:rPr>
        <w:t xml:space="preserve">The fair value of all RSUs that vested during the years ended December 31, 2025, December 31, 2024, and December 31, 2023 was </w:t>
      </w:r>
      <w:r>
        <w:rPr>
          <w:rFonts w:ascii="Arial;sans-serif" w:hAnsi="Arial;sans-serif"/>
          <w:b w:val="false"/>
          <w:color w:val="000000"/>
          <w:sz w:val="20"/>
          <w:shd w:fill="FFFFFF" w:val="clear"/>
        </w:rPr>
        <w:t>$93.8 million</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$45.5 million, </w:t>
      </w:r>
      <w:r>
        <w:rPr>
          <w:rFonts w:ascii="Arial;sans-serif" w:hAnsi="Arial;sans-serif"/>
          <w:b w:val="false"/>
          <w:color w:val="000000"/>
          <w:sz w:val="20"/>
        </w:rPr>
        <w:t xml:space="preserve">and </w:t>
      </w:r>
      <w:r>
        <w:rPr>
          <w:rFonts w:ascii="Arial;sans-serif" w:hAnsi="Arial;sans-serif"/>
          <w:b w:val="false"/>
          <w:color w:val="000000"/>
          <w:sz w:val="20"/>
          <w:shd w:fill="FFFFFF" w:val="clear"/>
        </w:rPr>
        <w:t>$0.5 million</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83845"/>
                <wp:effectExtent l="0" t="0" r="0" b="0"/>
                <wp:wrapNone/>
                <wp:docPr id="195" name="Frame18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Performance Stock Options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has two PSOs outstanding. The outstanding PSOs, have contractual terms of ten years from the respective grant dates, generally vest monthly over three years upon the achievement of Company-specified performance targets, and are subject to continued service through the applicable vesting date.</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performance condition for one of the outstanding awards of PSOs covering 63,484 shares that has an exercise price of $14.00 per share was met on November 1, 2024, meaning that this option now vests and becomes exercisable in thirty-six equal monthly installments on the monthly anniversaries of November 1, 2024, subject to continued service through the vesting date. As of </w:t>
      </w:r>
      <w:r>
        <w:rPr>
          <w:rFonts w:ascii="Arial;sans-serif" w:hAnsi="Arial;sans-serif"/>
          <w:b w:val="false"/>
          <w:color w:val="231F20"/>
          <w:sz w:val="20"/>
        </w:rPr>
        <w:t>December 31, 2025, 22,925 shares subject to this PSO were vested and exercisable.</w:t>
      </w:r>
      <w:r>
        <w:rPr>
          <w:color w:val="000000"/>
        </w:rPr>
        <w:t xml:space="preser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second outstanding award of PSOs covers 40,831 shares has an exercise price of $12.80 per share and will commence vesting upon meeting certain performance-based conditions; achievement of this performance condition is not considered probable as of December 31, 2025. As such, there has been no expense recognized for this PSO.</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PSOs activity, issued under the 2024 Plan, were as follows:</w:t>
      </w:r>
    </w:p>
    <w:tbl>
      <w:tblPr>
        <w:tblW w:w="10205" w:type="dxa"/>
        <w:jc w:val="left"/>
        <w:tblInd w:w="0" w:type="dxa"/>
        <w:tblLayout w:type="fixed"/>
        <w:tblCellMar>
          <w:top w:w="28" w:type="dxa"/>
          <w:left w:w="28" w:type="dxa"/>
          <w:bottom w:w="28" w:type="dxa"/>
          <w:right w:w="28" w:type="dxa"/>
        </w:tblCellMar>
      </w:tblPr>
      <w:tblGrid>
        <w:gridCol w:w="1018"/>
        <w:gridCol w:w="896"/>
        <w:gridCol w:w="899"/>
        <w:gridCol w:w="509"/>
        <w:gridCol w:w="509"/>
        <w:gridCol w:w="510"/>
        <w:gridCol w:w="109"/>
        <w:gridCol w:w="109"/>
        <w:gridCol w:w="109"/>
        <w:gridCol w:w="911"/>
        <w:gridCol w:w="911"/>
        <w:gridCol w:w="912"/>
        <w:gridCol w:w="109"/>
        <w:gridCol w:w="109"/>
        <w:gridCol w:w="109"/>
        <w:gridCol w:w="723"/>
        <w:gridCol w:w="723"/>
        <w:gridCol w:w="1030"/>
      </w:tblGrid>
      <w:tr>
        <w:trPr/>
        <w:tc>
          <w:tcPr>
            <w:tcW w:w="101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Performance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Weighted-Average Contractual Term</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231F20"/>
                <w:sz w:val="16"/>
              </w:rPr>
            </w:pPr>
            <w:r>
              <w:rPr>
                <w:rFonts w:ascii="Arial;sans-serif" w:hAnsi="Arial;sans-serif"/>
                <w:b w:val="false"/>
                <w:i/>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31F20"/>
                <w:sz w:val="16"/>
              </w:rPr>
            </w:pPr>
            <w:r>
              <w:rPr>
                <w:rFonts w:ascii="Arial;sans-serif" w:hAnsi="Arial;sans-serif"/>
                <w:b w:val="false"/>
                <w:color w:val="231F20"/>
                <w:sz w:val="16"/>
              </w:rPr>
              <w:t>(in years)</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Outstanding at December 31, 2025</w:t>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Vested and Exercisable at December 31, 2025</w:t>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31F20"/>
                <w:sz w:val="18"/>
              </w:rPr>
            </w:pPr>
            <w:r>
              <w:rPr>
                <w:rFonts w:ascii="Arial;sans-serif" w:hAnsi="Arial;sans-serif"/>
                <w:b w:val="false"/>
                <w:color w:val="231F20"/>
                <w:sz w:val="18"/>
              </w:rPr>
              <w:t>$14.00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w:t>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aggregate intrinsic value of the PSOs outstanding as of December 31, 2025 and December 31, 2024 was $7.5 million and $0.5 million.</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Fair Value Valuation Assumptions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fair value of employee stock purchase rights under the ESPP have been estimated with the following assumptions using the Black-Scholes-Merton option-pricing model:</w:t>
      </w:r>
    </w:p>
    <w:tbl>
      <w:tblPr>
        <w:tblW w:w="6692" w:type="dxa"/>
        <w:jc w:val="left"/>
        <w:tblInd w:w="0" w:type="dxa"/>
        <w:tblLayout w:type="fixed"/>
        <w:tblCellMar>
          <w:top w:w="28" w:type="dxa"/>
          <w:left w:w="28" w:type="dxa"/>
          <w:bottom w:w="28" w:type="dxa"/>
          <w:right w:w="28" w:type="dxa"/>
        </w:tblCellMar>
      </w:tblPr>
      <w:tblGrid>
        <w:gridCol w:w="1799"/>
        <w:gridCol w:w="1582"/>
        <w:gridCol w:w="1583"/>
        <w:gridCol w:w="524"/>
        <w:gridCol w:w="524"/>
        <w:gridCol w:w="52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ind w:left="0" w:right="0" w:hanging="202"/>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assumptions: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life (in years)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volatility</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dividend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estimated grant date fair value per share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$59.31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expected term represents the term from the first day of the offering period to the purchase date. The risk-free interest rate assumption was based upon observed interest rates of Treasury bills appropriate for the expected term. For the Company’s first offering, the expected stock price volatility was estimated using the average of the Company’s historical volatility and the average historical volatility of comparable peer companies, as the Company had limited trading history as a public company. For the current offering and future offerings, the expected stock price volatility is estimated using the Company’s historical volatility, as sufficient trading history has been established and is considered representative of expected future stock price trends. Expected dividend yield was 0% as the Company has not paid and does not anticipate paying dividends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83845"/>
                <wp:effectExtent l="0" t="0" r="0" b="0"/>
                <wp:wrapNone/>
                <wp:docPr id="196" name="Frame18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i/>
          <w:color w:val="000000"/>
          <w:sz w:val="20"/>
          <w:u w:val="single"/>
        </w:rPr>
      </w:pPr>
      <w:r>
        <w:rPr>
          <w:rFonts w:ascii="Arial;sans-serif" w:hAnsi="Arial;sans-serif"/>
          <w:b/>
          <w:i/>
          <w:color w:val="000000"/>
          <w:sz w:val="20"/>
          <w:u w:val="single"/>
        </w:rPr>
        <w:t>Liability-classified Awards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Performance-Based Award </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The Company has one performance-based award outstanding held by a former employee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If and to the extent that the liability becomes due and payable prior to 12:01 a.m. Eastern Time December 24, 2026 (the “Disposal Funding Period”) and paid by GRAIL, in cash, during the Disposal Funding Period, Illumina will reimburse GRAIL all or such portion of the liability paid by GRAIL in accordance of the terms of the Separation and Distribution Agreement. As of </w:t>
      </w:r>
      <w:r>
        <w:rPr>
          <w:rFonts w:ascii="Arial;sans-serif" w:hAnsi="Arial;sans-serif"/>
          <w:b w:val="false"/>
          <w:color w:val="231F20"/>
          <w:sz w:val="20"/>
        </w:rPr>
        <w:t>December 31, 2025</w:t>
      </w:r>
      <w:r>
        <w:rPr>
          <w:rFonts w:ascii="Arial;sans-serif" w:hAnsi="Arial;sans-serif"/>
          <w:b w:val="false"/>
          <w:color w:val="000000"/>
          <w:sz w:val="20"/>
        </w:rPr>
        <w:t xml:space="preserve">, it was not probable that the performance conditions associated with the award would be achieved and, therefore, no stock-based compensation expense, or corresponding loss recovery asset or liability, has been recognized in the consolidated financial statements.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Cash-Based Equity Awards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Cash-Based Equity Award program was adopted following Illumina’s acquisition of GRAIL in 2021 to provide GRAIL employees with dollar-denominated long-term incentive awards that increased or decreased in value based on corresponding changes in GRAIL’s calculated value. GRAIL’s standalone value calculation was estimated by the Company based on its analysis and input from independent valuation advisors. To estimate the value of GRAIL for the purposes of the Cash-Based Equity Awards, various assumptions were used, including long-range financial projections, as well as the discount rate and terminal growth rate. The awards generally vested in four equal installments on the first four anniversaries of the grant date, subject to continued employment through the applicable vesting date. In April 2024, Illumina’s Compensation Committee and Board of Directors (as applicable) approved an adjustment of the ordinary course payouts for all outstanding Cash-Based Equity Awards providing that the Cash-Based Equity Awards would be paid based on their nominal (face) values without adjustment based on changes in equity value. Subsequent to this adjustment to the Cash-Based Equity Awards and continuing until the Award Modification, the Cash-Based Equity Awards were expensed based on such nominal (face) value in accordance with their applicable vesting schedules. The payments in respect of the Cash-Based Equity Awards between the adoption of such adjustment and the Distribution Date were paid out in cash at the applicable Cash-Based Equity Awards’ nominal (face) value. Payments in respect of the Cash-Based Equity Awards before such adjustment were paid out in cash based on the adjusted value of the Cash-Based Equity Award on the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83845"/>
                <wp:effectExtent l="0" t="0" r="0" b="0"/>
                <wp:wrapNone/>
                <wp:docPr id="197" name="Frame18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second quarter of 2024, one-time Cash-Based Equity Awards were granted to GRAIL employees, including executives, for retention purposes (“2024 Transition Incentive Awards”) with a total grant date fair value of $40.2 million. Each 2024 Transition Incentive Awards vested entirely in one year or less from its grant date, subject to the applicable holder’s continued service through the vesting date. In connection with the Spin-Off, the 2024 Transition Incentive Awards were converted into RSUs covering 2.5 million shares in accordance with the Employee Matters Agreement by dividing the aggregate award value by the volume-weighted average share price over the first four trading days following the Spin-Off. On the modification date, June 28, 2024, these 2024 Transition Incentive Awards in the amount of $4.4 million were reclassified to Additional Paid-In Capital.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Spin-Off, all outstanding Cash-Based Equity Awards, with the exception of the 2024 Transition Incentive Awards described above, were modified and converted into RSUs in accordance with the Employee Matters Agreement, with the number of RSUs determined by dividing the Aggregate Award Value (as discussed below) for such Cash-Based Equity Award by the volume-weighted average share price of GRAIL stock on the first four trading days following the Spin-Off. All other terms and conditions of the awards, including vesting and payment terms, were unaffected by the conversion. For each Cash-Based Equity Award, the “Aggregate Award Value” was equal to, (i) for the portion of such award originally scheduled to vest in 2024, the initial grant value of such portion, and (ii) for the remaining unvested portion of such award, the initial grant value of such portion adjusted up or down based on a percentage, with such percentage determined by (A) GRAIL’s average closing market capitalization for the four trading days immediately following the distribution date minus the aggregate equity value of GRAIL at the time the Cash-Based Equity Award was granted, as reflected in the consolidated financial statements of Illumina (the “Baseline Equity Value”), divided by (B) the Baseline Equity Value.</w:t>
      </w:r>
    </w:p>
    <w:p>
      <w:pPr>
        <w:pStyle w:val="TextBody"/>
        <w:bidi w:val="0"/>
        <w:spacing w:lineRule="auto" w:line="288" w:before="240" w:after="283"/>
        <w:jc w:val="left"/>
        <w:rPr/>
      </w:pPr>
      <w:r>
        <w:rPr>
          <w:rFonts w:ascii="Arial;sans-serif" w:hAnsi="Arial;sans-serif"/>
          <w:b w:val="false"/>
          <w:color w:val="000000"/>
          <w:sz w:val="20"/>
        </w:rPr>
        <w:t>Upon modification, the awards became equity-classified. The value of tranches of the Cash-Based Equity Awards (exclusive of the 2024 Transition Incentive Awards described above) was reduced and, as a result, there was no incremental compensation cost. Approximately 1,300 grantees were impacted by this modification. On the modification date, June 28, 2024, the liability-classified awards were reclassified to Additional Paid-In Capital at their fair value in the amount of $50.3 million. Due to the higher value of the 2024 tranche of the Cash-Based Equity Awards, compensation cost was recognized over the vesting period to ensure compensation cost had been recognized at least equal to the amount that was legally vested. As the result of this modification, the Cash-Based Equity Awards that were outstanding on the Distribution Date (in addition to the 2024 Transition Incentive Awards) were converted to 4.0 million RSUs that were settled in shares</w:t>
      </w:r>
      <w:r>
        <w:rPr>
          <w:color w:val="000000"/>
        </w:rPr>
        <w:t xml:space="preserve"> </w:t>
      </w:r>
      <w:r>
        <w:rPr>
          <w:rFonts w:ascii="Arial;sans-serif" w:hAnsi="Arial;sans-serif"/>
          <w:b w:val="false"/>
          <w:color w:val="000000"/>
          <w:sz w:val="20"/>
        </w:rPr>
        <w:t xml:space="preserve">of the Company’s common stock. There were no Cash-Based Equity Award outstanding as of </w:t>
      </w:r>
      <w:r>
        <w:rPr>
          <w:rFonts w:ascii="Arial;sans-serif" w:hAnsi="Arial;sans-serif"/>
          <w:b w:val="false"/>
          <w:color w:val="231F20"/>
          <w:sz w:val="20"/>
        </w:rPr>
        <w:t xml:space="preserve">December 31, 2025. </w:t>
      </w:r>
    </w:p>
    <w:p>
      <w:pPr>
        <w:pStyle w:val="TextBody"/>
        <w:bidi w:val="0"/>
        <w:spacing w:lineRule="auto" w:line="288" w:before="240" w:after="283"/>
        <w:jc w:val="left"/>
        <w:rPr>
          <w:rFonts w:ascii="Arial;sans-serif" w:hAnsi="Arial;sans-serif"/>
          <w:b w:val="false"/>
          <w:color w:val="231F20"/>
          <w:sz w:val="20"/>
        </w:rPr>
      </w:pPr>
      <w:r>
        <w:rPr>
          <w:rFonts w:ascii="Arial;sans-serif" w:hAnsi="Arial;sans-serif"/>
          <w:b w:val="false"/>
          <w:color w:val="231F20"/>
          <w:sz w:val="20"/>
        </w:rPr>
        <w:t>Cash-Based Equity Award activity for the periods presented was as follows:</w:t>
      </w:r>
    </w:p>
    <w:tbl>
      <w:tblPr>
        <w:tblW w:w="5974" w:type="dxa"/>
        <w:jc w:val="center"/>
        <w:tblInd w:w="0" w:type="dxa"/>
        <w:tblLayout w:type="fixed"/>
        <w:tblCellMar>
          <w:top w:w="28" w:type="dxa"/>
          <w:left w:w="28" w:type="dxa"/>
          <w:bottom w:w="28" w:type="dxa"/>
          <w:right w:w="28" w:type="dxa"/>
        </w:tblCellMar>
      </w:tblPr>
      <w:tblGrid>
        <w:gridCol w:w="1526"/>
        <w:gridCol w:w="1340"/>
        <w:gridCol w:w="1348"/>
        <w:gridCol w:w="109"/>
        <w:gridCol w:w="109"/>
        <w:gridCol w:w="109"/>
        <w:gridCol w:w="109"/>
        <w:gridCol w:w="215"/>
        <w:gridCol w:w="844"/>
        <w:gridCol w:w="111"/>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6"/>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c>
          <w:tcPr>
            <w:tcW w:w="154" w:type="dxa"/>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292,189 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66,864 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Cancelled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(11,751)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Vested and paid in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(53,807)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(9,535)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Conversion of outstanding awards to GRAIL RSUs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(283,960)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Outstanding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231F20"/>
              </w:rPr>
            </w:pPr>
            <w:r>
              <w:rPr>
                <w:color w:val="231F2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83845"/>
                <wp:effectExtent l="0" t="0" r="0" b="0"/>
                <wp:wrapNone/>
                <wp:docPr id="198" name="Frame19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color w:val="000000"/>
          <w:sz w:val="20"/>
        </w:rPr>
        <w:t>NOTE 9.</w:t>
      </w:r>
      <w:r>
        <w:rPr>
          <w:color w:val="231F20"/>
        </w:rPr>
        <w:t xml:space="preserve"> </w:t>
      </w:r>
      <w:r>
        <w:rPr>
          <w:rFonts w:ascii="Arial;sans-serif" w:hAnsi="Arial;sans-serif"/>
          <w:b/>
          <w:color w:val="000000"/>
          <w:sz w:val="20"/>
        </w:rPr>
        <w:t>LEASES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entered</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facilities</w:t>
      </w:r>
      <w:r>
        <w:rPr>
          <w:color w:val="231F20"/>
        </w:rPr>
        <w:t xml:space="preserve"> </w:t>
      </w:r>
      <w:r>
        <w:rPr>
          <w:rFonts w:ascii="Arial;sans-serif" w:hAnsi="Arial;sans-serif"/>
          <w:b w:val="false"/>
          <w:color w:val="231F20"/>
          <w:sz w:val="20"/>
        </w:rPr>
        <w:t>utilized</w:t>
      </w:r>
      <w:r>
        <w:rPr>
          <w:color w:val="231F20"/>
        </w:rPr>
        <w:t xml:space="preserve"> </w:t>
      </w:r>
      <w:r>
        <w:rPr>
          <w:rFonts w:ascii="Arial;sans-serif" w:hAnsi="Arial;sans-serif"/>
          <w:b w:val="false"/>
          <w:color w:val="231F20"/>
          <w:sz w:val="20"/>
        </w:rPr>
        <w:t>for commercial and</w:t>
      </w:r>
      <w:r>
        <w:rPr>
          <w:color w:val="231F20"/>
        </w:rPr>
        <w:t xml:space="preserve"> </w:t>
      </w:r>
      <w:r>
        <w:rPr>
          <w:rFonts w:ascii="Arial;sans-serif" w:hAnsi="Arial;sans-serif"/>
          <w:b w:val="false"/>
          <w:color w:val="231F20"/>
          <w:sz w:val="20"/>
        </w:rPr>
        <w:t>research</w:t>
      </w:r>
      <w:r>
        <w:rPr>
          <w:color w:val="231F20"/>
        </w:rPr>
        <w:t xml:space="preserve"> </w:t>
      </w:r>
      <w:r>
        <w:rPr>
          <w:rFonts w:ascii="Arial;sans-serif" w:hAnsi="Arial;sans-serif"/>
          <w:b w:val="false"/>
          <w:color w:val="231F20"/>
          <w:sz w:val="20"/>
        </w:rPr>
        <w:t>and development.</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have</w:t>
      </w:r>
      <w:r>
        <w:rPr>
          <w:color w:val="231F20"/>
        </w:rPr>
        <w:t xml:space="preserve"> </w:t>
      </w:r>
      <w:r>
        <w:rPr>
          <w:rFonts w:ascii="Arial;sans-serif" w:hAnsi="Arial;sans-serif"/>
          <w:b w:val="false"/>
          <w:color w:val="231F20"/>
          <w:sz w:val="20"/>
        </w:rPr>
        <w:t>remaining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terms</w:t>
      </w:r>
      <w:r>
        <w:rPr>
          <w:color w:val="231F20"/>
        </w:rPr>
        <w:t xml:space="preserve"> </w:t>
      </w:r>
      <w:r>
        <w:rPr>
          <w:rFonts w:ascii="Arial;sans-serif" w:hAnsi="Arial;sans-serif"/>
          <w:b w:val="false"/>
          <w:color w:val="231F20"/>
          <w:sz w:val="20"/>
        </w:rPr>
        <w:t>which</w:t>
      </w:r>
      <w:r>
        <w:rPr>
          <w:color w:val="231F20"/>
        </w:rPr>
        <w:t xml:space="preserve"> </w:t>
      </w:r>
      <w:r>
        <w:rPr>
          <w:rFonts w:ascii="Arial;sans-serif" w:hAnsi="Arial;sans-serif"/>
          <w:b w:val="false"/>
          <w:color w:val="231F20"/>
          <w:sz w:val="20"/>
        </w:rPr>
        <w:t>range</w:t>
      </w:r>
      <w:r>
        <w:rPr>
          <w:color w:val="231F20"/>
        </w:rPr>
        <w:t xml:space="preserve"> </w:t>
      </w:r>
      <w:r>
        <w:rPr>
          <w:rFonts w:ascii="Arial;sans-serif" w:hAnsi="Arial;sans-serif"/>
          <w:b w:val="false"/>
          <w:color w:val="231F20"/>
          <w:sz w:val="20"/>
        </w:rPr>
        <w:t xml:space="preserve">from less than </w:t>
      </w:r>
      <w:r>
        <w:rPr>
          <w:rFonts w:ascii="Arial;sans-serif" w:hAnsi="Arial;sans-serif"/>
          <w:b w:val="false"/>
          <w:color w:val="231F20"/>
          <w:sz w:val="20"/>
          <w:shd w:fill="FFFFFF" w:val="clear"/>
        </w:rPr>
        <w:t>1 year to 8 years, and often include one or more options to renew. These renewal terms can extend the lease term from 5 to 15 years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are included</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when</w:t>
      </w:r>
      <w:r>
        <w:rPr>
          <w:color w:val="231F20"/>
        </w:rPr>
        <w:t xml:space="preserve"> </w:t>
      </w:r>
      <w:r>
        <w:rPr>
          <w:rFonts w:ascii="Arial;sans-serif" w:hAnsi="Arial;sans-serif"/>
          <w:b w:val="false"/>
          <w:color w:val="231F20"/>
          <w:sz w:val="20"/>
        </w:rPr>
        <w:t>it</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reasonably</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option</w:t>
      </w:r>
      <w:r>
        <w:rPr>
          <w:color w:val="231F20"/>
        </w:rPr>
        <w:t xml:space="preserve"> </w:t>
      </w:r>
      <w:r>
        <w:rPr>
          <w:rFonts w:ascii="Arial;sans-serif" w:hAnsi="Arial;sans-serif"/>
          <w:b w:val="false"/>
          <w:color w:val="231F20"/>
          <w:sz w:val="20"/>
        </w:rPr>
        <w:t>will</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exercised.</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exercise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lease renewal</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termination</w:t>
      </w:r>
      <w:r>
        <w:rPr>
          <w:color w:val="231F20"/>
        </w:rPr>
        <w:t xml:space="preserve"> </w:t>
      </w:r>
      <w:r>
        <w:rPr>
          <w:rFonts w:ascii="Arial;sans-serif" w:hAnsi="Arial;sans-serif"/>
          <w:b w:val="false"/>
          <w:color w:val="231F20"/>
          <w:sz w:val="20"/>
        </w:rPr>
        <w:t>options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sole</w:t>
      </w:r>
      <w:r>
        <w:rPr>
          <w:color w:val="231F20"/>
        </w:rPr>
        <w:t xml:space="preserve"> </w:t>
      </w:r>
      <w:r>
        <w:rPr>
          <w:rFonts w:ascii="Arial;sans-serif" w:hAnsi="Arial;sans-serif"/>
          <w:b w:val="false"/>
          <w:color w:val="231F20"/>
          <w:sz w:val="20"/>
        </w:rPr>
        <w:t>discretion</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also</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variable</w:t>
      </w:r>
      <w:r>
        <w:rPr>
          <w:color w:val="231F20"/>
        </w:rPr>
        <w:t xml:space="preserve"> </w:t>
      </w:r>
      <w:r>
        <w:rPr>
          <w:rFonts w:ascii="Arial;sans-serif" w:hAnsi="Arial;sans-serif"/>
          <w:b w:val="false"/>
          <w:color w:val="231F20"/>
          <w:sz w:val="20"/>
        </w:rPr>
        <w:t>lease payments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comprised</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common</w:t>
      </w:r>
      <w:r>
        <w:rPr>
          <w:color w:val="231F20"/>
        </w:rPr>
        <w:t xml:space="preserve"> </w:t>
      </w:r>
      <w:r>
        <w:rPr>
          <w:rFonts w:ascii="Arial;sans-serif" w:hAnsi="Arial;sans-serif"/>
          <w:b w:val="false"/>
          <w:color w:val="231F20"/>
          <w:sz w:val="20"/>
        </w:rPr>
        <w:t>area</w:t>
      </w:r>
      <w:r>
        <w:rPr>
          <w:color w:val="231F20"/>
        </w:rPr>
        <w:t xml:space="preserve"> </w:t>
      </w:r>
      <w:r>
        <w:rPr>
          <w:rFonts w:ascii="Arial;sans-serif" w:hAnsi="Arial;sans-serif"/>
          <w:b w:val="false"/>
          <w:color w:val="231F20"/>
          <w:sz w:val="20"/>
        </w:rPr>
        <w:t>maintenance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utility</w:t>
      </w:r>
      <w:r>
        <w:rPr>
          <w:color w:val="231F20"/>
        </w:rPr>
        <w:t xml:space="preserve"> </w:t>
      </w:r>
      <w:r>
        <w:rPr>
          <w:rFonts w:ascii="Arial;sans-serif" w:hAnsi="Arial;sans-serif"/>
          <w:b w:val="false"/>
          <w:color w:val="231F20"/>
          <w:sz w:val="20"/>
        </w:rPr>
        <w:t>charges.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components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costs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6099" w:type="dxa"/>
        <w:jc w:val="left"/>
        <w:tblInd w:w="0" w:type="dxa"/>
        <w:tblLayout w:type="fixed"/>
        <w:tblCellMar>
          <w:top w:w="28" w:type="dxa"/>
          <w:left w:w="28" w:type="dxa"/>
          <w:bottom w:w="28" w:type="dxa"/>
          <w:right w:w="28" w:type="dxa"/>
        </w:tblCellMar>
      </w:tblPr>
      <w:tblGrid>
        <w:gridCol w:w="685"/>
        <w:gridCol w:w="601"/>
        <w:gridCol w:w="604"/>
        <w:gridCol w:w="237"/>
        <w:gridCol w:w="811"/>
        <w:gridCol w:w="122"/>
        <w:gridCol w:w="109"/>
        <w:gridCol w:w="109"/>
        <w:gridCol w:w="109"/>
        <w:gridCol w:w="237"/>
        <w:gridCol w:w="811"/>
        <w:gridCol w:w="122"/>
        <w:gridCol w:w="109"/>
        <w:gridCol w:w="109"/>
        <w:gridCol w:w="109"/>
        <w:gridCol w:w="236"/>
        <w:gridCol w:w="807"/>
        <w:gridCol w:w="172"/>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costs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17,767 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18,577 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24,357 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Variable lease costs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4,061 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lease costs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23,243 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28,033 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Company’s</w:t>
      </w:r>
      <w:r>
        <w:rPr>
          <w:color w:val="231F20"/>
        </w:rPr>
        <w:t xml:space="preserve"> </w:t>
      </w:r>
      <w:r>
        <w:rPr>
          <w:rFonts w:ascii="Arial;sans-serif" w:hAnsi="Arial;sans-serif"/>
          <w:b w:val="false"/>
          <w:color w:val="231F20"/>
          <w:sz w:val="20"/>
        </w:rPr>
        <w:t>weighted</w:t>
      </w:r>
      <w:r>
        <w:rPr>
          <w:color w:val="231F20"/>
        </w:rPr>
        <w:t xml:space="preserve"> </w:t>
      </w:r>
      <w:r>
        <w:rPr>
          <w:rFonts w:ascii="Arial;sans-serif" w:hAnsi="Arial;sans-serif"/>
          <w:b w:val="false"/>
          <w:color w:val="231F20"/>
          <w:sz w:val="20"/>
        </w:rPr>
        <w:t>average</w:t>
      </w:r>
      <w:r>
        <w:rPr>
          <w:color w:val="231F20"/>
        </w:rPr>
        <w:t xml:space="preserve"> </w:t>
      </w:r>
      <w:r>
        <w:rPr>
          <w:rFonts w:ascii="Arial;sans-serif" w:hAnsi="Arial;sans-serif"/>
          <w:b w:val="false"/>
          <w:color w:val="231F20"/>
          <w:sz w:val="20"/>
        </w:rPr>
        <w:t>remaining</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term</w:t>
      </w:r>
      <w:r>
        <w:rPr>
          <w:color w:val="231F20"/>
        </w:rPr>
        <w:t xml:space="preserve"> </w:t>
      </w:r>
      <w:r>
        <w:rPr>
          <w:rFonts w:ascii="Arial;sans-serif" w:hAnsi="Arial;sans-serif"/>
          <w:b w:val="false"/>
          <w:color w:val="231F20"/>
          <w:sz w:val="20"/>
        </w:rPr>
        <w:t>and weighted average discount rate for operating leases were as follows:</w:t>
      </w:r>
    </w:p>
    <w:tbl>
      <w:tblPr>
        <w:tblW w:w="5630" w:type="dxa"/>
        <w:jc w:val="left"/>
        <w:tblInd w:w="0" w:type="dxa"/>
        <w:tblLayout w:type="fixed"/>
        <w:tblCellMar>
          <w:top w:w="28" w:type="dxa"/>
          <w:left w:w="28" w:type="dxa"/>
          <w:bottom w:w="28" w:type="dxa"/>
          <w:right w:w="28" w:type="dxa"/>
        </w:tblCellMar>
      </w:tblPr>
      <w:tblGrid>
        <w:gridCol w:w="1234"/>
        <w:gridCol w:w="1084"/>
        <w:gridCol w:w="1086"/>
        <w:gridCol w:w="203"/>
        <w:gridCol w:w="203"/>
        <w:gridCol w:w="475"/>
        <w:gridCol w:w="135"/>
        <w:gridCol w:w="135"/>
        <w:gridCol w:w="135"/>
        <w:gridCol w:w="203"/>
        <w:gridCol w:w="203"/>
        <w:gridCol w:w="534"/>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 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w:t>
            </w:r>
          </w:p>
        </w:tc>
        <w:tc>
          <w:tcPr>
            <w:tcW w:w="881"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years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years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2.6 </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2.5 </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w:t>
            </w:r>
          </w:p>
        </w:tc>
      </w:tr>
    </w:tbl>
    <w:p>
      <w:pPr>
        <w:pStyle w:val="TextBody"/>
        <w:bidi w:val="0"/>
        <w:spacing w:lineRule="auto" w:line="288" w:before="240" w:after="283"/>
        <w:ind w:left="0" w:right="0" w:firstLine="450"/>
        <w:jc w:val="left"/>
        <w:rPr/>
      </w:pP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undiscounted</w:t>
      </w:r>
      <w:r>
        <w:rPr>
          <w:color w:val="231F20"/>
        </w:rPr>
        <w:t xml:space="preserve"> </w:t>
      </w:r>
      <w:r>
        <w:rPr>
          <w:rFonts w:ascii="Arial;sans-serif" w:hAnsi="Arial;sans-serif"/>
          <w:b w:val="false"/>
          <w:color w:val="231F20"/>
          <w:sz w:val="20"/>
        </w:rPr>
        <w:t>lease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leases</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December 31, 2025</w:t>
      </w:r>
      <w:r>
        <w:rPr>
          <w:color w:val="231F20"/>
        </w:rPr>
        <w:t xml:space="preserve"> </w:t>
      </w:r>
      <w:r>
        <w:rPr>
          <w:rFonts w:ascii="Arial;sans-serif" w:hAnsi="Arial;sans-serif"/>
          <w:b w:val="false"/>
          <w:color w:val="231F20"/>
          <w:sz w:val="20"/>
        </w:rPr>
        <w:t>were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10205" w:type="dxa"/>
        <w:jc w:val="center"/>
        <w:tblInd w:w="0" w:type="dxa"/>
        <w:tblLayout w:type="fixed"/>
        <w:tblCellMar>
          <w:top w:w="28" w:type="dxa"/>
          <w:left w:w="28" w:type="dxa"/>
          <w:bottom w:w="28" w:type="dxa"/>
          <w:right w:w="28" w:type="dxa"/>
        </w:tblCellMar>
      </w:tblPr>
      <w:tblGrid>
        <w:gridCol w:w="3691"/>
        <w:gridCol w:w="2706"/>
        <w:gridCol w:w="2720"/>
        <w:gridCol w:w="211"/>
        <w:gridCol w:w="721"/>
        <w:gridCol w:w="156"/>
      </w:tblGrid>
      <w:tr>
        <w:trPr/>
        <w:tc>
          <w:tcPr>
            <w:tcW w:w="3691"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88"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Amount</w:t>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left"/>
              <w:rPr/>
            </w:pPr>
            <w:r>
              <w:rPr>
                <w:rFonts w:ascii="Arial;sans-serif" w:hAnsi="Arial;sans-serif"/>
                <w:b w:val="false"/>
                <w:color w:val="231F20"/>
                <w:sz w:val="18"/>
              </w:rPr>
              <w:t>Total</w:t>
            </w:r>
            <w:r>
              <w:rPr>
                <w:color w:val="231F20"/>
              </w:rPr>
              <w:t xml:space="preserve"> </w:t>
            </w:r>
            <w:r>
              <w:rPr>
                <w:rFonts w:ascii="Arial;sans-serif" w:hAnsi="Arial;sans-serif"/>
                <w:b w:val="false"/>
                <w:color w:val="231F20"/>
                <w:sz w:val="18"/>
              </w:rPr>
              <w:t>undiscounted</w:t>
            </w:r>
            <w:r>
              <w:rPr>
                <w:color w:val="231F20"/>
              </w:rPr>
              <w:t xml:space="preserve"> </w:t>
            </w:r>
            <w:r>
              <w:rPr>
                <w:rFonts w:ascii="Arial;sans-serif" w:hAnsi="Arial;sans-serif"/>
                <w:b w:val="false"/>
                <w:color w:val="231F20"/>
                <w:sz w:val="18"/>
              </w:rPr>
              <w:t>lease</w:t>
            </w:r>
            <w:r>
              <w:rPr>
                <w:color w:val="231F20"/>
              </w:rPr>
              <w:t xml:space="preserve"> </w:t>
            </w:r>
            <w:r>
              <w:rPr>
                <w:rFonts w:ascii="Arial;sans-serif" w:hAnsi="Arial;sans-serif"/>
                <w:b w:val="false"/>
                <w:color w:val="231F20"/>
                <w:sz w:val="18"/>
              </w:rPr>
              <w:t>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70,843 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r>
              <w:rPr>
                <w:rFonts w:ascii="Arial;sans-serif" w:hAnsi="Arial;sans-serif"/>
                <w:b w:val="false"/>
                <w:color w:val="231F20"/>
                <w:sz w:val="18"/>
              </w:rPr>
              <w:t>Less:</w:t>
            </w:r>
            <w:r>
              <w:rPr>
                <w:color w:val="231F20"/>
              </w:rPr>
              <w:t xml:space="preserve"> </w:t>
            </w:r>
            <w:r>
              <w:rPr>
                <w:rFonts w:ascii="Arial;sans-serif" w:hAnsi="Arial;sans-serif"/>
                <w:b w:val="false"/>
                <w:color w:val="231F20"/>
                <w:sz w:val="18"/>
              </w:rPr>
              <w:t>Imputed</w:t>
            </w:r>
            <w:r>
              <w:rPr>
                <w:color w:val="231F20"/>
              </w:rPr>
              <w:t xml:space="preserve"> </w:t>
            </w:r>
            <w:r>
              <w:rPr>
                <w:rFonts w:ascii="Arial;sans-serif" w:hAnsi="Arial;sans-serif"/>
                <w:b w:val="false"/>
                <w:color w:val="231F20"/>
                <w:sz w:val="18"/>
              </w:rPr>
              <w:t>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(6,290)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333" w:before="240" w:after="283"/>
              <w:jc w:val="left"/>
              <w:rPr/>
            </w:pPr>
            <w:r>
              <w:rPr>
                <w:rFonts w:ascii="Arial;sans-serif" w:hAnsi="Arial;sans-serif"/>
                <w:b w:val="false"/>
                <w:color w:val="231F20"/>
                <w:sz w:val="18"/>
              </w:rPr>
              <w:t>Less:</w:t>
            </w:r>
            <w:r>
              <w:rPr>
                <w:color w:val="231F20"/>
              </w:rPr>
              <w:t xml:space="preserve"> </w:t>
            </w:r>
            <w:r>
              <w:rPr>
                <w:rFonts w:ascii="Arial;sans-serif" w:hAnsi="Arial;sans-serif"/>
                <w:b w:val="false"/>
                <w:color w:val="231F20"/>
                <w:sz w:val="18"/>
              </w:rPr>
              <w:t>Tenant</w:t>
            </w:r>
            <w:r>
              <w:rPr>
                <w:color w:val="231F20"/>
              </w:rPr>
              <w:t xml:space="preserve"> </w:t>
            </w:r>
            <w:r>
              <w:rPr>
                <w:rFonts w:ascii="Arial;sans-serif" w:hAnsi="Arial;sans-serif"/>
                <w:b w:val="false"/>
                <w:color w:val="231F20"/>
                <w:sz w:val="18"/>
              </w:rPr>
              <w:t>improvement</w:t>
            </w:r>
            <w:r>
              <w:rPr>
                <w:color w:val="231F20"/>
              </w:rPr>
              <w:t xml:space="preserve"> </w:t>
            </w:r>
            <w:r>
              <w:rPr>
                <w:rFonts w:ascii="Arial;sans-serif" w:hAnsi="Arial;sans-serif"/>
                <w:b w:val="false"/>
                <w:color w:val="231F20"/>
                <w:sz w:val="18"/>
              </w:rPr>
              <w:t>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(9,690)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333" w:before="240" w:after="283"/>
              <w:jc w:val="left"/>
              <w:rPr/>
            </w:pPr>
            <w:r>
              <w:rPr>
                <w:rFonts w:ascii="Arial;sans-serif" w:hAnsi="Arial;sans-serif"/>
                <w:b/>
                <w:color w:val="231F20"/>
                <w:sz w:val="18"/>
              </w:rPr>
              <w:t>Total</w:t>
            </w:r>
            <w:r>
              <w:rPr>
                <w:color w:val="231F20"/>
              </w:rPr>
              <w:t xml:space="preserve"> </w:t>
            </w:r>
            <w:r>
              <w:rPr>
                <w:rFonts w:ascii="Arial;sans-serif" w:hAnsi="Arial;sans-serif"/>
                <w:b/>
                <w:color w:val="231F20"/>
                <w:sz w:val="18"/>
              </w:rPr>
              <w:t>operating</w:t>
            </w:r>
            <w:r>
              <w:rPr>
                <w:color w:val="231F20"/>
              </w:rPr>
              <w:t xml:space="preserve"> </w:t>
            </w:r>
            <w:r>
              <w:rPr>
                <w:rFonts w:ascii="Arial;sans-serif" w:hAnsi="Arial;sans-serif"/>
                <w:b/>
                <w:color w:val="231F20"/>
                <w:sz w:val="18"/>
              </w:rPr>
              <w:t>lease</w:t>
            </w:r>
            <w:r>
              <w:rPr>
                <w:color w:val="231F20"/>
              </w:rPr>
              <w:t xml:space="preserve"> </w:t>
            </w:r>
            <w:r>
              <w:rPr>
                <w:rFonts w:ascii="Arial;sans-serif" w:hAnsi="Arial;sans-serif"/>
                <w:b/>
                <w:color w:val="231F20"/>
                <w:sz w:val="18"/>
              </w:rPr>
              <w:t>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60" w:after="283"/>
              <w:ind w:left="0" w:right="0" w:hanging="180"/>
              <w:jc w:val="left"/>
              <w:rPr/>
            </w:pPr>
            <w:r>
              <w:rPr>
                <w:rFonts w:ascii="Arial;sans-serif" w:hAnsi="Arial;sans-serif"/>
                <w:b w:val="false"/>
                <w:color w:val="231F20"/>
                <w:sz w:val="16"/>
              </w:rPr>
              <w:t>*Tenant improvement</w:t>
            </w:r>
            <w:r>
              <w:rPr>
                <w:color w:val="231F20"/>
              </w:rPr>
              <w:t xml:space="preserve"> </w:t>
            </w:r>
            <w:r>
              <w:rPr>
                <w:rFonts w:ascii="Arial;sans-serif" w:hAnsi="Arial;sans-serif"/>
                <w:b w:val="false"/>
                <w:color w:val="231F20"/>
                <w:sz w:val="16"/>
              </w:rPr>
              <w:t>allowance is estimated</w:t>
            </w:r>
            <w:r>
              <w:rPr>
                <w:color w:val="231F20"/>
              </w:rPr>
              <w:t xml:space="preserve"> </w:t>
            </w:r>
            <w:r>
              <w:rPr>
                <w:rFonts w:ascii="Arial;sans-serif" w:hAnsi="Arial;sans-serif"/>
                <w:b w:val="false"/>
                <w:color w:val="231F20"/>
                <w:sz w:val="16"/>
              </w:rPr>
              <w:t>to be received</w:t>
            </w:r>
            <w:r>
              <w:rPr>
                <w:color w:val="231F20"/>
              </w:rPr>
              <w:t xml:space="preserve"> </w:t>
            </w:r>
            <w:r>
              <w:rPr>
                <w:rFonts w:ascii="Arial;sans-serif" w:hAnsi="Arial;sans-serif"/>
                <w:b w:val="false"/>
                <w:color w:val="231F20"/>
                <w:sz w:val="16"/>
              </w:rPr>
              <w:t>as follows:</w:t>
            </w:r>
            <w:r>
              <w:rPr>
                <w:color w:val="231F20"/>
              </w:rPr>
              <w:t xml:space="preserve"> </w:t>
            </w:r>
            <w:r>
              <w:rPr>
                <w:rFonts w:ascii="Arial;sans-serif" w:hAnsi="Arial;sans-serif"/>
                <w:b w:val="false"/>
                <w:color w:val="231F20"/>
                <w:sz w:val="16"/>
              </w:rPr>
              <w:t>approximately $0.3 million in 2026 and $9.4 million thereafter.</w:t>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Excluded from the lease obligation table above is a commercial lease agreement (the “Lease”) entered into by and between the Company and Sunnyvale Office Acquisition, LLC, as of September 11, 2025, pursuant to which the Company agreed to lease an aggregate of approximately 75,556 square feet for a new corporate headquarters in Sunnyvale, California, which will be recognized as an operating lease upon the lease commencement date. The actual timing of lease commencement for accounting purposes, as well as the Company’s obligation to begin making payments and recognizing rental and other expenses, is dependent upon when the space is made available to the Company and the Company obtains control of the underlying asset. The Company’s current estimate of the total estimated undiscounted lease payments, excluding the renewal option and option to expand into additional space, for this leased office space is approximately $61.7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83845"/>
                <wp:effectExtent l="0" t="0" r="0" b="0"/>
                <wp:wrapNone/>
                <wp:docPr id="199" name="Frame19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186</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10.</w:t>
      </w:r>
      <w:r>
        <w:rPr>
          <w:color w:val="231F20"/>
        </w:rPr>
        <w:t xml:space="preserve"> </w:t>
      </w:r>
      <w:r>
        <w:rPr>
          <w:rFonts w:ascii="Arial;sans-serif" w:hAnsi="Arial;sans-serif"/>
          <w:b/>
          <w:color w:val="000000"/>
          <w:sz w:val="20"/>
        </w:rPr>
        <w:t>COMMITMENTS AND CONTINGENCIES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non-lease</w:t>
      </w:r>
      <w:r>
        <w:rPr>
          <w:color w:val="231F20"/>
        </w:rPr>
        <w:t xml:space="preserve"> </w:t>
      </w:r>
      <w:r>
        <w:rPr>
          <w:rFonts w:ascii="Arial;sans-serif" w:hAnsi="Arial;sans-serif"/>
          <w:b w:val="false"/>
          <w:color w:val="231F20"/>
          <w:sz w:val="20"/>
        </w:rPr>
        <w:t>commitments</w:t>
      </w:r>
      <w:r>
        <w:rPr>
          <w:color w:val="231F20"/>
        </w:rPr>
        <w:t xml:space="preserve"> </w:t>
      </w:r>
      <w:r>
        <w:rPr>
          <w:rFonts w:ascii="Arial;sans-serif" w:hAnsi="Arial;sans-serif"/>
          <w:b w:val="false"/>
          <w:color w:val="231F20"/>
          <w:sz w:val="20"/>
        </w:rPr>
        <w:t>over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next</w:t>
      </w:r>
      <w:r>
        <w:rPr>
          <w:color w:val="231F20"/>
        </w:rPr>
        <w:t xml:space="preserve"> </w:t>
      </w:r>
      <w:r>
        <w:rPr>
          <w:rFonts w:ascii="Arial;sans-serif" w:hAnsi="Arial;sans-serif"/>
          <w:b w:val="false"/>
          <w:color w:val="231F20"/>
          <w:sz w:val="20"/>
        </w:rPr>
        <w:t>five</w:t>
      </w:r>
      <w:r>
        <w:rPr>
          <w:color w:val="231F20"/>
        </w:rPr>
        <w:t xml:space="preserve"> </w:t>
      </w:r>
      <w:r>
        <w:rPr>
          <w:rFonts w:ascii="Arial;sans-serif" w:hAnsi="Arial;sans-serif"/>
          <w:b w:val="false"/>
          <w:color w:val="231F20"/>
          <w:sz w:val="20"/>
        </w:rPr>
        <w:t>years</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thereafter</w:t>
      </w:r>
      <w:r>
        <w:rPr>
          <w:color w:val="231F20"/>
        </w:rPr>
        <w:t xml:space="preserve"> </w:t>
      </w:r>
      <w:r>
        <w:rPr>
          <w:rFonts w:ascii="Arial;sans-serif" w:hAnsi="Arial;sans-serif"/>
          <w:b w:val="false"/>
          <w:color w:val="231F20"/>
          <w:sz w:val="20"/>
        </w:rPr>
        <w:t>were</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follows:</w:t>
      </w:r>
    </w:p>
    <w:tbl>
      <w:tblPr>
        <w:tblW w:w="3254" w:type="dxa"/>
        <w:jc w:val="center"/>
        <w:tblInd w:w="0" w:type="dxa"/>
        <w:tblLayout w:type="fixed"/>
        <w:tblCellMar>
          <w:top w:w="28" w:type="dxa"/>
          <w:left w:w="28" w:type="dxa"/>
          <w:bottom w:w="28" w:type="dxa"/>
          <w:right w:w="28" w:type="dxa"/>
        </w:tblCellMar>
      </w:tblPr>
      <w:tblGrid>
        <w:gridCol w:w="424"/>
        <w:gridCol w:w="372"/>
        <w:gridCol w:w="374"/>
        <w:gridCol w:w="405"/>
        <w:gridCol w:w="1384"/>
        <w:gridCol w:w="29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 December 31, 2025</w:t>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Purchase Commitments</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2026</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25,023 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2027</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23,927 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2028</w:t>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3,633 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2029</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52,841 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i/>
          <w:color w:val="231F20"/>
          <w:sz w:val="20"/>
        </w:rPr>
        <w:t>Licensing Agreements</w:t>
      </w:r>
      <w:r>
        <w:rPr>
          <w:color w:val="231F20"/>
        </w:rPr>
        <w:t xml:space="preserve"> </w:t>
      </w:r>
    </w:p>
    <w:p>
      <w:pPr>
        <w:pStyle w:val="TextBody"/>
        <w:bidi w:val="0"/>
        <w:spacing w:lineRule="auto" w:line="288" w:before="240" w:after="283"/>
        <w:ind w:left="0" w:right="0" w:firstLine="450"/>
        <w:jc w:val="left"/>
        <w:rPr/>
      </w:pPr>
      <w:r>
        <w:rPr>
          <w:rFonts w:ascii="Arial;sans-serif" w:hAnsi="Arial;sans-serif"/>
          <w:b w:val="false"/>
          <w:color w:val="231F20"/>
          <w:sz w:val="20"/>
        </w:rPr>
        <w:t>The Company has entered into licensing</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 its research</w:t>
      </w:r>
      <w:r>
        <w:rPr>
          <w:color w:val="231F20"/>
        </w:rPr>
        <w:t xml:space="preserve"> </w:t>
      </w:r>
      <w:r>
        <w:rPr>
          <w:rFonts w:ascii="Arial;sans-serif" w:hAnsi="Arial;sans-serif"/>
          <w:b w:val="false"/>
          <w:color w:val="231F20"/>
          <w:sz w:val="20"/>
        </w:rPr>
        <w:t>efforts. These agreements contain minimum annual royalty payments which are cancellable at the Company’s discretion, therefore they are not reflected in the above chart. Additionally, some of these licensing agreements include royalties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would</w:t>
      </w:r>
      <w:r>
        <w:rPr>
          <w:color w:val="231F20"/>
        </w:rPr>
        <w:t xml:space="preserve"> </w:t>
      </w:r>
      <w:r>
        <w:rPr>
          <w:rFonts w:ascii="Arial;sans-serif" w:hAnsi="Arial;sans-serif"/>
          <w:b w:val="false"/>
          <w:color w:val="231F20"/>
          <w:sz w:val="20"/>
        </w:rPr>
        <w:t>be payable on net sales of Galleri, and any future</w:t>
      </w:r>
      <w:r>
        <w:rPr>
          <w:color w:val="231F20"/>
        </w:rPr>
        <w:t xml:space="preserve"> </w:t>
      </w:r>
      <w:r>
        <w:rPr>
          <w:rFonts w:ascii="Arial;sans-serif" w:hAnsi="Arial;sans-serif"/>
          <w:b w:val="false"/>
          <w:color w:val="231F20"/>
          <w:sz w:val="20"/>
        </w:rPr>
        <w:t>products,</w:t>
      </w:r>
      <w:r>
        <w:rPr>
          <w:color w:val="231F20"/>
        </w:rPr>
        <w:t xml:space="preserve"> </w:t>
      </w:r>
      <w:r>
        <w:rPr>
          <w:rFonts w:ascii="Arial;sans-serif" w:hAnsi="Arial;sans-serif"/>
          <w:b w:val="false"/>
          <w:color w:val="231F20"/>
          <w:sz w:val="20"/>
        </w:rPr>
        <w:t>pursuant</w:t>
      </w:r>
      <w:r>
        <w:rPr>
          <w:color w:val="231F20"/>
        </w:rPr>
        <w:t xml:space="preserve"> </w:t>
      </w:r>
      <w:r>
        <w:rPr>
          <w:rFonts w:ascii="Arial;sans-serif" w:hAnsi="Arial;sans-serif"/>
          <w:b w:val="false"/>
          <w:color w:val="231F20"/>
          <w:sz w:val="20"/>
        </w:rPr>
        <w:t>to existing</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and licenses</w:t>
      </w:r>
      <w:r>
        <w:rPr>
          <w:color w:val="231F20"/>
        </w:rPr>
        <w:t xml:space="preserve"> </w:t>
      </w:r>
      <w:r>
        <w:rPr>
          <w:rFonts w:ascii="Arial;sans-serif" w:hAnsi="Arial;sans-serif"/>
          <w:b w:val="false"/>
          <w:color w:val="231F20"/>
          <w:sz w:val="20"/>
        </w:rPr>
        <w:t>with Illumina,</w:t>
      </w:r>
      <w:r>
        <w:rPr>
          <w:color w:val="231F20"/>
        </w:rPr>
        <w:t xml:space="preserve"> </w:t>
      </w:r>
      <w:r>
        <w:rPr>
          <w:rFonts w:ascii="Arial;sans-serif" w:hAnsi="Arial;sans-serif"/>
          <w:b w:val="false"/>
          <w:color w:val="231F20"/>
          <w:sz w:val="20"/>
        </w:rPr>
        <w:t>the Chinese University</w:t>
      </w:r>
      <w:r>
        <w:rPr>
          <w:color w:val="231F20"/>
        </w:rPr>
        <w:t xml:space="preserve"> </w:t>
      </w:r>
      <w:r>
        <w:rPr>
          <w:rFonts w:ascii="Arial;sans-serif" w:hAnsi="Arial;sans-serif"/>
          <w:b w:val="false"/>
          <w:color w:val="231F20"/>
          <w:sz w:val="20"/>
        </w:rPr>
        <w:t>of Hong Kong, and other third parties</w:t>
      </w:r>
      <w:r>
        <w:rPr>
          <w:color w:val="231F20"/>
        </w:rPr>
        <w:t xml:space="preserve"> </w:t>
      </w:r>
      <w:r>
        <w:rPr>
          <w:rFonts w:ascii="Arial;sans-serif" w:hAnsi="Arial;sans-serif"/>
          <w:b w:val="false"/>
          <w:color w:val="231F20"/>
          <w:sz w:val="20"/>
        </w:rPr>
        <w:t>in excess of minimum</w:t>
      </w:r>
      <w:r>
        <w:rPr>
          <w:color w:val="231F20"/>
        </w:rPr>
        <w:t xml:space="preserve"> </w:t>
      </w:r>
      <w:r>
        <w:rPr>
          <w:rFonts w:ascii="Arial;sans-serif" w:hAnsi="Arial;sans-serif"/>
          <w:b w:val="false"/>
          <w:color w:val="231F20"/>
          <w:sz w:val="20"/>
        </w:rPr>
        <w:t>annual royalty payments.</w:t>
      </w:r>
    </w:p>
    <w:p>
      <w:pPr>
        <w:pStyle w:val="TextBody"/>
        <w:bidi w:val="0"/>
        <w:spacing w:lineRule="auto" w:line="288" w:before="240" w:after="283"/>
        <w:ind w:left="0" w:right="0" w:firstLine="450"/>
        <w:jc w:val="left"/>
        <w:rPr/>
      </w:pPr>
      <w:r>
        <w:rPr>
          <w:rFonts w:ascii="Arial;sans-serif" w:hAnsi="Arial;sans-serif"/>
          <w:b w:val="false"/>
          <w:i/>
          <w:color w:val="231F20"/>
          <w:sz w:val="20"/>
        </w:rPr>
        <w:t>Purchase</w:t>
      </w:r>
      <w:r>
        <w:rPr>
          <w:color w:val="231F20"/>
        </w:rPr>
        <w:t xml:space="preserve"> </w:t>
      </w:r>
      <w:r>
        <w:rPr>
          <w:rFonts w:ascii="Arial;sans-serif" w:hAnsi="Arial;sans-serif"/>
          <w:b w:val="false"/>
          <w:i/>
          <w:color w:val="231F20"/>
          <w:sz w:val="20"/>
        </w:rPr>
        <w:t>Commitments</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purchase</w:t>
      </w:r>
      <w:r>
        <w:rPr>
          <w:color w:val="231F20"/>
        </w:rPr>
        <w:t xml:space="preserve"> </w:t>
      </w:r>
      <w:r>
        <w:rPr>
          <w:rFonts w:ascii="Arial;sans-serif" w:hAnsi="Arial;sans-serif"/>
          <w:b w:val="false"/>
          <w:color w:val="231F20"/>
          <w:sz w:val="20"/>
        </w:rPr>
        <w:t>commitments</w:t>
      </w:r>
      <w:r>
        <w:rPr>
          <w:color w:val="231F20"/>
        </w:rPr>
        <w:t xml:space="preserve"> </w:t>
      </w:r>
      <w:r>
        <w:rPr>
          <w:rFonts w:ascii="Arial;sans-serif" w:hAnsi="Arial;sans-serif"/>
          <w:b w:val="false"/>
          <w:color w:val="231F20"/>
          <w:sz w:val="20"/>
        </w:rPr>
        <w:t>primarily</w:t>
      </w:r>
      <w:r>
        <w:rPr>
          <w:color w:val="231F20"/>
        </w:rPr>
        <w:t xml:space="preserve"> </w:t>
      </w:r>
      <w:r>
        <w:rPr>
          <w:rFonts w:ascii="Arial;sans-serif" w:hAnsi="Arial;sans-serif"/>
          <w:b w:val="false"/>
          <w:color w:val="231F20"/>
          <w:sz w:val="20"/>
        </w:rPr>
        <w:t>relate</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contractual</w:t>
      </w:r>
      <w:r>
        <w:rPr>
          <w:color w:val="231F20"/>
        </w:rPr>
        <w:t xml:space="preserve"> </w:t>
      </w:r>
      <w:r>
        <w:rPr>
          <w:rFonts w:ascii="Arial;sans-serif" w:hAnsi="Arial;sans-serif"/>
          <w:b w:val="false"/>
          <w:color w:val="231F20"/>
          <w:sz w:val="20"/>
        </w:rPr>
        <w:t>commitments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use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web</w:t>
      </w:r>
      <w:r>
        <w:rPr>
          <w:color w:val="231F20"/>
        </w:rPr>
        <w:t xml:space="preserve"> </w:t>
      </w:r>
      <w:r>
        <w:rPr>
          <w:rFonts w:ascii="Arial;sans-serif" w:hAnsi="Arial;sans-serif"/>
          <w:b w:val="false"/>
          <w:color w:val="231F20"/>
          <w:sz w:val="20"/>
        </w:rPr>
        <w:t>services, and laboratory</w:t>
      </w:r>
      <w:r>
        <w:rPr>
          <w:color w:val="231F20"/>
        </w:rPr>
        <w:t xml:space="preserve"> </w:t>
      </w:r>
      <w:r>
        <w:rPr>
          <w:rFonts w:ascii="Arial;sans-serif" w:hAnsi="Arial;sans-serif"/>
          <w:b w:val="false"/>
          <w:color w:val="231F20"/>
          <w:sz w:val="20"/>
        </w:rPr>
        <w:t>supplies</w:t>
      </w:r>
      <w:r>
        <w:rPr>
          <w:color w:val="231F20"/>
        </w:rPr>
        <w:t xml:space="preserve"> </w:t>
      </w:r>
      <w:r>
        <w:rPr>
          <w:rFonts w:ascii="Arial;sans-serif" w:hAnsi="Arial;sans-serif"/>
          <w:b w:val="false"/>
          <w:color w:val="231F20"/>
          <w:sz w:val="20"/>
        </w:rPr>
        <w:t>in the</w:t>
      </w:r>
      <w:r>
        <w:rPr>
          <w:color w:val="231F20"/>
        </w:rPr>
        <w:t xml:space="preserve"> </w:t>
      </w:r>
      <w:r>
        <w:rPr>
          <w:rFonts w:ascii="Arial;sans-serif" w:hAnsi="Arial;sans-serif"/>
          <w:b w:val="false"/>
          <w:color w:val="231F20"/>
          <w:sz w:val="20"/>
        </w:rPr>
        <w:t>normal</w:t>
      </w:r>
      <w:r>
        <w:rPr>
          <w:color w:val="231F20"/>
        </w:rPr>
        <w:t xml:space="preserve"> </w:t>
      </w:r>
      <w:r>
        <w:rPr>
          <w:rFonts w:ascii="Arial;sans-serif" w:hAnsi="Arial;sans-serif"/>
          <w:b w:val="false"/>
          <w:color w:val="231F20"/>
          <w:sz w:val="20"/>
        </w:rPr>
        <w:t>course</w:t>
      </w:r>
      <w:r>
        <w:rPr>
          <w:color w:val="231F20"/>
        </w:rPr>
        <w:t xml:space="preserve"> </w:t>
      </w:r>
      <w:r>
        <w:rPr>
          <w:rFonts w:ascii="Arial;sans-serif" w:hAnsi="Arial;sans-serif"/>
          <w:b w:val="false"/>
          <w:color w:val="231F20"/>
          <w:sz w:val="20"/>
        </w:rPr>
        <w:t>of business.</w:t>
      </w:r>
    </w:p>
    <w:p>
      <w:pPr>
        <w:pStyle w:val="TextBody"/>
        <w:bidi w:val="0"/>
        <w:spacing w:lineRule="auto" w:line="288" w:before="240" w:after="283"/>
        <w:ind w:left="0" w:right="0" w:firstLine="450"/>
        <w:jc w:val="left"/>
        <w:rPr/>
      </w:pPr>
      <w:r>
        <w:rPr>
          <w:rFonts w:ascii="Arial;sans-serif" w:hAnsi="Arial;sans-serif"/>
          <w:b w:val="false"/>
          <w:i/>
          <w:color w:val="231F20"/>
          <w:sz w:val="20"/>
        </w:rPr>
        <w:t>Intellectual</w:t>
      </w:r>
      <w:r>
        <w:rPr>
          <w:color w:val="231F20"/>
        </w:rPr>
        <w:t xml:space="preserve"> </w:t>
      </w:r>
      <w:r>
        <w:rPr>
          <w:rFonts w:ascii="Arial;sans-serif" w:hAnsi="Arial;sans-serif"/>
          <w:b w:val="false"/>
          <w:i/>
          <w:color w:val="231F20"/>
          <w:sz w:val="20"/>
        </w:rPr>
        <w:t>Property</w:t>
      </w:r>
    </w:p>
    <w:p>
      <w:pPr>
        <w:pStyle w:val="TextBody"/>
        <w:bidi w:val="0"/>
        <w:spacing w:lineRule="auto" w:line="288" w:before="240" w:after="283"/>
        <w:ind w:left="0" w:right="0" w:firstLine="450"/>
        <w:jc w:val="left"/>
        <w:rPr/>
      </w:pP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entered</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agreement</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a</w:t>
      </w:r>
      <w:r>
        <w:rPr>
          <w:color w:val="231F20"/>
        </w:rPr>
        <w:t xml:space="preserve"> </w:t>
      </w:r>
      <w:r>
        <w:rPr>
          <w:rFonts w:ascii="Arial;sans-serif" w:hAnsi="Arial;sans-serif"/>
          <w:b w:val="false"/>
          <w:color w:val="231F20"/>
          <w:sz w:val="20"/>
        </w:rPr>
        <w:t>third</w:t>
      </w:r>
      <w:r>
        <w:rPr>
          <w:color w:val="231F20"/>
        </w:rPr>
        <w:t xml:space="preserve"> </w:t>
      </w:r>
      <w:r>
        <w:rPr>
          <w:rFonts w:ascii="Arial;sans-serif" w:hAnsi="Arial;sans-serif"/>
          <w:b w:val="false"/>
          <w:color w:val="231F20"/>
          <w:sz w:val="20"/>
        </w:rPr>
        <w:t>party</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exclusive</w:t>
      </w:r>
      <w:r>
        <w:rPr>
          <w:color w:val="231F20"/>
        </w:rPr>
        <w:t xml:space="preserve"> </w:t>
      </w:r>
      <w:r>
        <w:rPr>
          <w:rFonts w:ascii="Arial;sans-serif" w:hAnsi="Arial;sans-serif"/>
          <w:b w:val="false"/>
          <w:color w:val="231F20"/>
          <w:sz w:val="20"/>
        </w:rPr>
        <w:t>option</w:t>
      </w:r>
      <w:r>
        <w:rPr>
          <w:color w:val="231F20"/>
        </w:rPr>
        <w:t xml:space="preserve"> </w:t>
      </w:r>
      <w:r>
        <w:rPr>
          <w:rFonts w:ascii="Arial;sans-serif" w:hAnsi="Arial;sans-serif"/>
          <w:b w:val="false"/>
          <w:color w:val="231F20"/>
          <w:sz w:val="20"/>
        </w:rPr>
        <w:t>rights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certain</w:t>
      </w:r>
      <w:r>
        <w:rPr>
          <w:color w:val="231F20"/>
        </w:rPr>
        <w:t xml:space="preserve"> </w:t>
      </w:r>
      <w:r>
        <w:rPr>
          <w:rFonts w:ascii="Arial;sans-serif" w:hAnsi="Arial;sans-serif"/>
          <w:b w:val="false"/>
          <w:color w:val="231F20"/>
          <w:sz w:val="20"/>
        </w:rPr>
        <w:t>intellectual property.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exercised</w:t>
      </w:r>
      <w:r>
        <w:rPr>
          <w:color w:val="231F20"/>
        </w:rPr>
        <w:t xml:space="preserve"> </w:t>
      </w:r>
      <w:r>
        <w:rPr>
          <w:rFonts w:ascii="Arial;sans-serif" w:hAnsi="Arial;sans-serif"/>
          <w:b w:val="false"/>
          <w:color w:val="231F20"/>
          <w:sz w:val="20"/>
        </w:rPr>
        <w:t>those</w:t>
      </w:r>
      <w:r>
        <w:rPr>
          <w:color w:val="231F20"/>
        </w:rPr>
        <w:t xml:space="preserve"> </w:t>
      </w:r>
      <w:r>
        <w:rPr>
          <w:rFonts w:ascii="Arial;sans-serif" w:hAnsi="Arial;sans-serif"/>
          <w:b w:val="false"/>
          <w:color w:val="231F20"/>
          <w:sz w:val="20"/>
        </w:rPr>
        <w:t>option</w:t>
      </w:r>
      <w:r>
        <w:rPr>
          <w:color w:val="231F20"/>
        </w:rPr>
        <w:t xml:space="preserve"> </w:t>
      </w:r>
      <w:r>
        <w:rPr>
          <w:rFonts w:ascii="Arial;sans-serif" w:hAnsi="Arial;sans-serif"/>
          <w:b w:val="false"/>
          <w:color w:val="231F20"/>
          <w:sz w:val="20"/>
        </w:rPr>
        <w:t>rights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license</w:t>
      </w:r>
      <w:r>
        <w:rPr>
          <w:color w:val="231F20"/>
        </w:rPr>
        <w:t xml:space="preserve"> </w:t>
      </w:r>
      <w:r>
        <w:rPr>
          <w:rFonts w:ascii="Arial;sans-serif" w:hAnsi="Arial;sans-serif"/>
          <w:b w:val="false"/>
          <w:color w:val="231F20"/>
          <w:sz w:val="20"/>
        </w:rPr>
        <w:t>intellectual</w:t>
      </w:r>
      <w:r>
        <w:rPr>
          <w:color w:val="231F20"/>
        </w:rPr>
        <w:t xml:space="preserve"> </w:t>
      </w: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December</w:t>
      </w:r>
      <w:r>
        <w:rPr>
          <w:color w:val="231F20"/>
        </w:rPr>
        <w:t xml:space="preserve"> </w:t>
      </w:r>
      <w:r>
        <w:rPr>
          <w:rFonts w:ascii="Arial;sans-serif" w:hAnsi="Arial;sans-serif"/>
          <w:b w:val="false"/>
          <w:color w:val="231F20"/>
          <w:sz w:val="20"/>
        </w:rPr>
        <w:t>2022.</w:t>
      </w:r>
      <w:r>
        <w:rPr>
          <w:color w:val="231F20"/>
        </w:rPr>
        <w:t xml:space="preserve"> </w:t>
      </w:r>
      <w:r>
        <w:rPr>
          <w:rFonts w:ascii="Arial;sans-serif" w:hAnsi="Arial;sans-serif"/>
          <w:b w:val="false"/>
          <w:color w:val="231F20"/>
          <w:sz w:val="20"/>
        </w:rPr>
        <w:t>Under the</w:t>
      </w:r>
      <w:r>
        <w:rPr>
          <w:color w:val="231F20"/>
        </w:rPr>
        <w:t xml:space="preserve"> </w:t>
      </w:r>
      <w:r>
        <w:rPr>
          <w:rFonts w:ascii="Arial;sans-serif" w:hAnsi="Arial;sans-serif"/>
          <w:b w:val="false"/>
          <w:color w:val="231F20"/>
          <w:sz w:val="20"/>
        </w:rPr>
        <w:t>terms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agreement,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may</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obligated</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make</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milestone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if</w:t>
      </w:r>
      <w:r>
        <w:rPr>
          <w:color w:val="231F20"/>
        </w:rPr>
        <w:t xml:space="preserve"> </w:t>
      </w:r>
      <w:r>
        <w:rPr>
          <w:rFonts w:ascii="Arial;sans-serif" w:hAnsi="Arial;sans-serif"/>
          <w:b w:val="false"/>
          <w:color w:val="231F20"/>
          <w:sz w:val="20"/>
        </w:rPr>
        <w:t>certain milestone</w:t>
      </w:r>
      <w:r>
        <w:rPr>
          <w:color w:val="231F20"/>
        </w:rPr>
        <w:t xml:space="preserve"> </w:t>
      </w:r>
      <w:r>
        <w:rPr>
          <w:rFonts w:ascii="Arial;sans-serif" w:hAnsi="Arial;sans-serif"/>
          <w:b w:val="false"/>
          <w:color w:val="231F20"/>
          <w:sz w:val="20"/>
        </w:rPr>
        <w:t>events, such as new product launches or expansion</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new</w:t>
      </w:r>
      <w:r>
        <w:rPr>
          <w:color w:val="231F20"/>
        </w:rPr>
        <w:t xml:space="preserve"> </w:t>
      </w:r>
      <w:r>
        <w:rPr>
          <w:rFonts w:ascii="Arial;sans-serif" w:hAnsi="Arial;sans-serif"/>
          <w:b w:val="false"/>
          <w:color w:val="231F20"/>
          <w:sz w:val="20"/>
        </w:rPr>
        <w:t>regions,</w:t>
      </w:r>
      <w:r>
        <w:rPr>
          <w:color w:val="231F20"/>
        </w:rPr>
        <w:t xml:space="preserve"> </w:t>
      </w:r>
      <w:r>
        <w:rPr>
          <w:rFonts w:ascii="Arial;sans-serif" w:hAnsi="Arial;sans-serif"/>
          <w:b w:val="false"/>
          <w:color w:val="231F20"/>
          <w:sz w:val="20"/>
        </w:rPr>
        <w:t>are</w:t>
      </w:r>
      <w:r>
        <w:rPr>
          <w:color w:val="231F20"/>
        </w:rPr>
        <w:t xml:space="preserve"> </w:t>
      </w:r>
      <w:r>
        <w:rPr>
          <w:rFonts w:ascii="Arial;sans-serif" w:hAnsi="Arial;sans-serif"/>
          <w:b w:val="false"/>
          <w:color w:val="231F20"/>
          <w:sz w:val="20"/>
        </w:rPr>
        <w:t>achieved</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respect</w:t>
      </w:r>
      <w:r>
        <w:rPr>
          <w:color w:val="231F20"/>
        </w:rPr>
        <w:t xml:space="preserve"> </w:t>
      </w:r>
      <w:r>
        <w:rPr>
          <w:rFonts w:ascii="Arial;sans-serif" w:hAnsi="Arial;sans-serif"/>
          <w:b w:val="false"/>
          <w:color w:val="231F20"/>
          <w:sz w:val="20"/>
        </w:rPr>
        <w:t>to products</w:t>
      </w:r>
      <w:r>
        <w:rPr>
          <w:color w:val="231F20"/>
        </w:rPr>
        <w:t xml:space="preserve"> </w:t>
      </w:r>
      <w:r>
        <w:rPr>
          <w:rFonts w:ascii="Arial;sans-serif" w:hAnsi="Arial;sans-serif"/>
          <w:b w:val="false"/>
          <w:color w:val="231F20"/>
          <w:sz w:val="20"/>
        </w:rPr>
        <w:t>covered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licensed</w:t>
      </w:r>
      <w:r>
        <w:rPr>
          <w:color w:val="231F20"/>
        </w:rPr>
        <w:t xml:space="preserve"> </w:t>
      </w:r>
      <w:r>
        <w:rPr>
          <w:rFonts w:ascii="Arial;sans-serif" w:hAnsi="Arial;sans-serif"/>
          <w:b w:val="false"/>
          <w:color w:val="231F20"/>
          <w:sz w:val="20"/>
        </w:rPr>
        <w:t>intellectual</w:t>
      </w:r>
      <w:r>
        <w:rPr>
          <w:color w:val="231F20"/>
        </w:rPr>
        <w:t xml:space="preserve"> </w:t>
      </w: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Two</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milestones</w:t>
      </w:r>
      <w:r>
        <w:rPr>
          <w:color w:val="231F20"/>
        </w:rPr>
        <w:t xml:space="preserve"> </w:t>
      </w:r>
      <w:r>
        <w:rPr>
          <w:rFonts w:ascii="Arial;sans-serif" w:hAnsi="Arial;sans-serif"/>
          <w:b w:val="false"/>
          <w:color w:val="231F20"/>
          <w:sz w:val="20"/>
        </w:rPr>
        <w:t>were</w:t>
      </w:r>
      <w:r>
        <w:rPr>
          <w:color w:val="231F20"/>
        </w:rPr>
        <w:t xml:space="preserve"> </w:t>
      </w:r>
      <w:r>
        <w:rPr>
          <w:rFonts w:ascii="Arial;sans-serif" w:hAnsi="Arial;sans-serif"/>
          <w:b w:val="false"/>
          <w:color w:val="231F20"/>
          <w:sz w:val="20"/>
        </w:rPr>
        <w:t>achieved within 2024</w:t>
      </w:r>
      <w:r>
        <w:rPr>
          <w:color w:val="231F20"/>
        </w:rPr>
        <w:t xml:space="preserve"> </w:t>
      </w:r>
      <w:r>
        <w:rPr>
          <w:rFonts w:ascii="Arial;sans-serif" w:hAnsi="Arial;sans-serif"/>
          <w:b w:val="false"/>
          <w:color w:val="231F20"/>
          <w:sz w:val="20"/>
        </w:rPr>
        <w:t>and $1.0 million paid</w:t>
      </w:r>
      <w:r>
        <w:rPr>
          <w:color w:val="231F20"/>
        </w:rPr>
        <w:t xml:space="preserve"> </w:t>
      </w:r>
      <w:r>
        <w:rPr>
          <w:rFonts w:ascii="Arial;sans-serif" w:hAnsi="Arial;sans-serif"/>
          <w:b w:val="false"/>
          <w:color w:val="231F20"/>
          <w:sz w:val="20"/>
        </w:rPr>
        <w:t>as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000000"/>
          <w:sz w:val="20"/>
        </w:rPr>
        <w:t>December 31, 2024</w:t>
      </w:r>
      <w:r>
        <w:rPr>
          <w:rFonts w:ascii="Arial;sans-serif" w:hAnsi="Arial;sans-serif"/>
          <w:b w:val="false"/>
          <w:color w:val="231F20"/>
          <w:sz w:val="20"/>
        </w:rPr>
        <w:t>. The remaining milestones are based on net sales over a minimum threshold in specified geographic regions, which were not probable of achievement as of</w:t>
      </w:r>
      <w:r>
        <w:rPr>
          <w:color w:val="231F20"/>
        </w:rPr>
        <w:t xml:space="preserve"> </w:t>
      </w:r>
      <w:r>
        <w:rPr>
          <w:rFonts w:ascii="Arial;sans-serif" w:hAnsi="Arial;sans-serif"/>
          <w:b w:val="false"/>
          <w:color w:val="231F20"/>
          <w:sz w:val="20"/>
        </w:rPr>
        <w:t>December 31, 2025.</w:t>
      </w:r>
    </w:p>
    <w:p>
      <w:pPr>
        <w:pStyle w:val="TextBody"/>
        <w:bidi w:val="0"/>
        <w:spacing w:lineRule="auto" w:line="288" w:before="240" w:after="283"/>
        <w:ind w:left="0" w:right="0" w:firstLine="450"/>
        <w:jc w:val="left"/>
        <w:rPr>
          <w:rFonts w:ascii="Arial;sans-serif" w:hAnsi="Arial;sans-serif"/>
          <w:b w:val="false"/>
          <w:i/>
          <w:color w:val="231F20"/>
          <w:sz w:val="20"/>
        </w:rPr>
      </w:pPr>
      <w:r>
        <w:rPr>
          <w:rFonts w:ascii="Arial;sans-serif" w:hAnsi="Arial;sans-serif"/>
          <w:b w:val="false"/>
          <w:i/>
          <w:color w:val="231F20"/>
          <w:sz w:val="20"/>
        </w:rPr>
        <w:t>Indemnification</w:t>
      </w:r>
    </w:p>
    <w:p>
      <w:pPr>
        <w:pStyle w:val="TextBody"/>
        <w:bidi w:val="0"/>
        <w:spacing w:lineRule="auto" w:line="288" w:before="240" w:after="283"/>
        <w:ind w:left="0" w:right="0" w:firstLine="450"/>
        <w:jc w:val="left"/>
        <w:rPr/>
      </w:pPr>
      <w:r>
        <w:rPr>
          <w:rFonts w:ascii="Arial;sans-serif" w:hAnsi="Arial;sans-serif"/>
          <w:b w:val="false"/>
          <w:color w:val="231F20"/>
          <w:sz w:val="20"/>
        </w:rPr>
        <w:t>The Company has agreed to indemnify</w:t>
      </w:r>
      <w:r>
        <w:rPr>
          <w:color w:val="231F20"/>
        </w:rPr>
        <w:t xml:space="preserve"> </w:t>
      </w:r>
      <w:r>
        <w:rPr>
          <w:rFonts w:ascii="Arial;sans-serif" w:hAnsi="Arial;sans-serif"/>
          <w:b w:val="false"/>
          <w:color w:val="231F20"/>
          <w:sz w:val="20"/>
        </w:rPr>
        <w:t>its directors</w:t>
      </w:r>
      <w:r>
        <w:rPr>
          <w:color w:val="231F20"/>
        </w:rPr>
        <w:t xml:space="preserve"> </w:t>
      </w:r>
      <w:r>
        <w:rPr>
          <w:rFonts w:ascii="Arial;sans-serif" w:hAnsi="Arial;sans-serif"/>
          <w:b w:val="false"/>
          <w:color w:val="231F20"/>
          <w:sz w:val="20"/>
        </w:rPr>
        <w:t>and officers</w:t>
      </w:r>
      <w:r>
        <w:rPr>
          <w:color w:val="231F20"/>
        </w:rPr>
        <w:t xml:space="preserve"> </w:t>
      </w:r>
      <w:r>
        <w:rPr>
          <w:rFonts w:ascii="Arial;sans-serif" w:hAnsi="Arial;sans-serif"/>
          <w:b w:val="false"/>
          <w:color w:val="231F20"/>
          <w:sz w:val="20"/>
        </w:rPr>
        <w:t>for certain</w:t>
      </w:r>
      <w:r>
        <w:rPr>
          <w:color w:val="231F20"/>
        </w:rPr>
        <w:t xml:space="preserve"> </w:t>
      </w:r>
      <w:r>
        <w:rPr>
          <w:rFonts w:ascii="Arial;sans-serif" w:hAnsi="Arial;sans-serif"/>
          <w:b w:val="false"/>
          <w:color w:val="231F20"/>
          <w:sz w:val="20"/>
        </w:rPr>
        <w:t>events or occurrences</w:t>
      </w:r>
      <w:r>
        <w:rPr>
          <w:color w:val="231F20"/>
        </w:rPr>
        <w:t xml:space="preserve"> </w:t>
      </w:r>
      <w:r>
        <w:rPr>
          <w:rFonts w:ascii="Arial;sans-serif" w:hAnsi="Arial;sans-serif"/>
          <w:b w:val="false"/>
          <w:color w:val="231F20"/>
          <w:sz w:val="20"/>
        </w:rPr>
        <w:t>while the director</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officer</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was)</w:t>
      </w:r>
      <w:r>
        <w:rPr>
          <w:color w:val="231F20"/>
        </w:rPr>
        <w:t xml:space="preserve"> </w:t>
      </w:r>
      <w:r>
        <w:rPr>
          <w:rFonts w:ascii="Arial;sans-serif" w:hAnsi="Arial;sans-serif"/>
          <w:b w:val="false"/>
          <w:color w:val="231F20"/>
          <w:sz w:val="20"/>
        </w:rPr>
        <w:t>serving</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such</w:t>
      </w:r>
      <w:r>
        <w:rPr>
          <w:color w:val="231F20"/>
        </w:rPr>
        <w:t xml:space="preserve"> </w:t>
      </w:r>
      <w:r>
        <w:rPr>
          <w:rFonts w:ascii="Arial;sans-serif" w:hAnsi="Arial;sans-serif"/>
          <w:b w:val="false"/>
          <w:color w:val="231F20"/>
          <w:sz w:val="20"/>
        </w:rPr>
        <w:t>capacity.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indemnification</w:t>
      </w:r>
      <w:r>
        <w:rPr>
          <w:color w:val="231F20"/>
        </w:rPr>
        <w:t xml:space="preserve"> </w:t>
      </w:r>
      <w:r>
        <w:rPr>
          <w:rFonts w:ascii="Arial;sans-serif" w:hAnsi="Arial;sans-serif"/>
          <w:b w:val="false"/>
          <w:color w:val="231F20"/>
          <w:sz w:val="20"/>
        </w:rPr>
        <w:t>period</w:t>
      </w:r>
      <w:r>
        <w:rPr>
          <w:color w:val="231F20"/>
        </w:rPr>
        <w:t xml:space="preserve"> </w:t>
      </w:r>
      <w:r>
        <w:rPr>
          <w:rFonts w:ascii="Arial;sans-serif" w:hAnsi="Arial;sans-serif"/>
          <w:b w:val="false"/>
          <w:color w:val="231F20"/>
          <w:sz w:val="20"/>
        </w:rPr>
        <w:t>covers</w:t>
      </w:r>
      <w:r>
        <w:rPr>
          <w:color w:val="231F20"/>
        </w:rPr>
        <w:t xml:space="preserve"> </w:t>
      </w:r>
      <w:r>
        <w:rPr>
          <w:rFonts w:ascii="Arial;sans-serif" w:hAnsi="Arial;sans-serif"/>
          <w:b w:val="false"/>
          <w:color w:val="231F20"/>
          <w:sz w:val="20"/>
        </w:rPr>
        <w:t>all</w:t>
      </w:r>
      <w:r>
        <w:rPr>
          <w:color w:val="231F20"/>
        </w:rPr>
        <w:t xml:space="preserve"> </w:t>
      </w:r>
      <w:r>
        <w:rPr>
          <w:rFonts w:ascii="Arial;sans-serif" w:hAnsi="Arial;sans-serif"/>
          <w:b w:val="false"/>
          <w:color w:val="231F20"/>
          <w:sz w:val="20"/>
        </w:rPr>
        <w:t>pertinent</w:t>
      </w:r>
      <w:r>
        <w:rPr>
          <w:color w:val="231F20"/>
        </w:rPr>
        <w:t xml:space="preserve"> </w:t>
      </w:r>
      <w:r>
        <w:rPr>
          <w:rFonts w:ascii="Arial;sans-serif" w:hAnsi="Arial;sans-serif"/>
          <w:b w:val="false"/>
          <w:color w:val="231F20"/>
          <w:sz w:val="20"/>
        </w:rPr>
        <w:t>events</w:t>
      </w:r>
      <w:r>
        <w:rPr>
          <w:color w:val="231F20"/>
        </w:rPr>
        <w:t xml:space="preserve"> </w:t>
      </w:r>
      <w:r>
        <w:rPr>
          <w:rFonts w:ascii="Arial;sans-serif" w:hAnsi="Arial;sans-serif"/>
          <w:b w:val="false"/>
          <w:color w:val="231F20"/>
          <w:sz w:val="20"/>
        </w:rPr>
        <w:t>and occurrences</w:t>
      </w:r>
      <w:r>
        <w:rPr>
          <w:color w:val="231F20"/>
        </w:rPr>
        <w:t xml:space="preserve"> </w:t>
      </w:r>
      <w:r>
        <w:rPr>
          <w:rFonts w:ascii="Arial;sans-serif" w:hAnsi="Arial;sans-serif"/>
          <w:b w:val="false"/>
          <w:color w:val="231F20"/>
          <w:sz w:val="20"/>
        </w:rPr>
        <w:t>during</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director’s</w:t>
      </w:r>
      <w:r>
        <w:rPr>
          <w:color w:val="231F20"/>
        </w:rPr>
        <w:t xml:space="preserve"> </w:t>
      </w:r>
      <w:r>
        <w:rPr>
          <w:rFonts w:ascii="Arial;sans-serif" w:hAnsi="Arial;sans-serif"/>
          <w:b w:val="false"/>
          <w:color w:val="231F20"/>
          <w:sz w:val="20"/>
        </w:rPr>
        <w:t>or officer’s</w:t>
      </w:r>
      <w:r>
        <w:rPr>
          <w:color w:val="231F20"/>
        </w:rPr>
        <w:t xml:space="preserve"> </w:t>
      </w:r>
      <w:r>
        <w:rPr>
          <w:rFonts w:ascii="Arial;sans-serif" w:hAnsi="Arial;sans-serif"/>
          <w:b w:val="false"/>
          <w:color w:val="231F20"/>
          <w:sz w:val="20"/>
        </w:rPr>
        <w:t>service.</w:t>
      </w:r>
      <w:r>
        <w:rPr>
          <w:color w:val="231F20"/>
        </w:rPr>
        <w:t xml:space="preserve"> </w:t>
      </w:r>
      <w:r>
        <w:rPr>
          <w:rFonts w:ascii="Arial;sans-serif" w:hAnsi="Arial;sans-serif"/>
          <w:b w:val="false"/>
          <w:color w:val="231F20"/>
          <w:sz w:val="20"/>
        </w:rPr>
        <w:t>The maximum</w:t>
      </w:r>
      <w:r>
        <w:rPr>
          <w:color w:val="231F20"/>
        </w:rPr>
        <w:t xml:space="preserve"> </w:t>
      </w:r>
      <w:r>
        <w:rPr>
          <w:rFonts w:ascii="Arial;sans-serif" w:hAnsi="Arial;sans-serif"/>
          <w:b w:val="false"/>
          <w:color w:val="231F20"/>
          <w:sz w:val="20"/>
        </w:rPr>
        <w:t>potential</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 future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the Company could be required</w:t>
      </w:r>
      <w:r>
        <w:rPr>
          <w:color w:val="231F20"/>
        </w:rPr>
        <w:t xml:space="preserve"> </w:t>
      </w:r>
      <w:r>
        <w:rPr>
          <w:rFonts w:ascii="Arial;sans-serif" w:hAnsi="Arial;sans-serif"/>
          <w:b w:val="false"/>
          <w:color w:val="231F20"/>
          <w:sz w:val="20"/>
        </w:rPr>
        <w:t>to make under the applicable</w:t>
      </w:r>
      <w:r>
        <w:rPr>
          <w:color w:val="231F20"/>
        </w:rPr>
        <w:t xml:space="preserve"> </w:t>
      </w:r>
      <w:r>
        <w:rPr>
          <w:rFonts w:ascii="Arial;sans-serif" w:hAnsi="Arial;sans-serif"/>
          <w:b w:val="false"/>
          <w:color w:val="231F20"/>
          <w:sz w:val="20"/>
        </w:rPr>
        <w:t>indemnification</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is not specified</w:t>
      </w:r>
      <w:r>
        <w:rPr>
          <w:color w:val="231F20"/>
        </w:rPr>
        <w:t xml:space="preserve"> </w:t>
      </w:r>
      <w:r>
        <w:rPr>
          <w:rFonts w:ascii="Arial;sans-serif" w:hAnsi="Arial;sans-serif"/>
          <w:b w:val="false"/>
          <w:color w:val="231F20"/>
          <w:sz w:val="20"/>
        </w:rPr>
        <w:t>in the agreements.</w:t>
      </w:r>
    </w:p>
    <w:p>
      <w:pPr>
        <w:pStyle w:val="TextBody"/>
        <w:bidi w:val="0"/>
        <w:spacing w:lineRule="auto" w:line="288" w:before="240" w:after="283"/>
        <w:ind w:left="0" w:right="0" w:firstLine="450"/>
        <w:jc w:val="left"/>
        <w:rPr/>
      </w:pPr>
      <w:r>
        <w:rPr>
          <w:rFonts w:ascii="Arial;sans-serif" w:hAnsi="Arial;sans-serif"/>
          <w:b w:val="false"/>
          <w:color w:val="231F20"/>
          <w:sz w:val="20"/>
        </w:rPr>
        <w:t>The Company enters</w:t>
      </w:r>
      <w:r>
        <w:rPr>
          <w:color w:val="231F20"/>
        </w:rPr>
        <w:t xml:space="preserve"> </w:t>
      </w:r>
      <w:r>
        <w:rPr>
          <w:rFonts w:ascii="Arial;sans-serif" w:hAnsi="Arial;sans-serif"/>
          <w:b w:val="false"/>
          <w:color w:val="231F20"/>
          <w:sz w:val="20"/>
        </w:rPr>
        <w:t>into</w:t>
      </w:r>
      <w:r>
        <w:rPr>
          <w:color w:val="231F20"/>
        </w:rPr>
        <w:t xml:space="preserve"> </w:t>
      </w:r>
      <w:r>
        <w:rPr>
          <w:rFonts w:ascii="Arial;sans-serif" w:hAnsi="Arial;sans-serif"/>
          <w:b w:val="false"/>
          <w:color w:val="231F20"/>
          <w:sz w:val="20"/>
        </w:rPr>
        <w:t>standard</w:t>
      </w:r>
      <w:r>
        <w:rPr>
          <w:color w:val="231F20"/>
        </w:rPr>
        <w:t xml:space="preserve"> </w:t>
      </w:r>
      <w:r>
        <w:rPr>
          <w:rFonts w:ascii="Arial;sans-serif" w:hAnsi="Arial;sans-serif"/>
          <w:b w:val="false"/>
          <w:color w:val="231F20"/>
          <w:sz w:val="20"/>
        </w:rPr>
        <w:t>indemnification</w:t>
      </w:r>
      <w:r>
        <w:rPr>
          <w:color w:val="231F20"/>
        </w:rPr>
        <w:t xml:space="preserve"> </w:t>
      </w:r>
      <w:r>
        <w:rPr>
          <w:rFonts w:ascii="Arial;sans-serif" w:hAnsi="Arial;sans-serif"/>
          <w:b w:val="false"/>
          <w:color w:val="231F20"/>
          <w:sz w:val="20"/>
        </w:rPr>
        <w:t>arrangements</w:t>
      </w:r>
      <w:r>
        <w:rPr>
          <w:color w:val="231F20"/>
        </w:rPr>
        <w:t xml:space="preserve"> </w:t>
      </w:r>
      <w:r>
        <w:rPr>
          <w:rFonts w:ascii="Arial;sans-serif" w:hAnsi="Arial;sans-serif"/>
          <w:b w:val="false"/>
          <w:color w:val="231F20"/>
          <w:sz w:val="20"/>
        </w:rPr>
        <w:t>in the</w:t>
      </w:r>
      <w:r>
        <w:rPr>
          <w:color w:val="231F20"/>
        </w:rPr>
        <w:t xml:space="preserve"> </w:t>
      </w:r>
      <w:r>
        <w:rPr>
          <w:rFonts w:ascii="Arial;sans-serif" w:hAnsi="Arial;sans-serif"/>
          <w:b w:val="false"/>
          <w:color w:val="231F20"/>
          <w:sz w:val="20"/>
        </w:rPr>
        <w:t>ordinary</w:t>
      </w:r>
      <w:r>
        <w:rPr>
          <w:color w:val="231F20"/>
        </w:rPr>
        <w:t xml:space="preserve"> </w:t>
      </w:r>
      <w:r>
        <w:rPr>
          <w:rFonts w:ascii="Arial;sans-serif" w:hAnsi="Arial;sans-serif"/>
          <w:b w:val="false"/>
          <w:color w:val="231F20"/>
          <w:sz w:val="20"/>
        </w:rPr>
        <w:t>course</w:t>
      </w:r>
      <w:r>
        <w:rPr>
          <w:color w:val="231F20"/>
        </w:rPr>
        <w:t xml:space="preserve"> </w:t>
      </w:r>
      <w:r>
        <w:rPr>
          <w:rFonts w:ascii="Arial;sans-serif" w:hAnsi="Arial;sans-serif"/>
          <w:b w:val="false"/>
          <w:color w:val="231F20"/>
          <w:sz w:val="20"/>
        </w:rPr>
        <w:t>of business. Pursuant</w:t>
      </w:r>
      <w:r>
        <w:rPr>
          <w:color w:val="231F20"/>
        </w:rPr>
        <w:t xml:space="preserve"> </w:t>
      </w:r>
      <w:r>
        <w:rPr>
          <w:rFonts w:ascii="Arial;sans-serif" w:hAnsi="Arial;sans-serif"/>
          <w:b w:val="false"/>
          <w:color w:val="231F20"/>
          <w:sz w:val="20"/>
        </w:rPr>
        <w:t>to these</w:t>
      </w:r>
      <w:r>
        <w:rPr>
          <w:color w:val="231F20"/>
        </w:rPr>
        <w:t xml:space="preserve"> </w:t>
      </w:r>
      <w:r>
        <w:rPr>
          <w:rFonts w:ascii="Arial;sans-serif" w:hAnsi="Arial;sans-serif"/>
          <w:b w:val="false"/>
          <w:color w:val="231F20"/>
          <w:sz w:val="20"/>
        </w:rPr>
        <w:t>arrangements,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 indemnifies,</w:t>
      </w:r>
      <w:r>
        <w:rPr>
          <w:color w:val="231F20"/>
        </w:rPr>
        <w:t xml:space="preserve"> </w:t>
      </w:r>
      <w:r>
        <w:rPr>
          <w:rFonts w:ascii="Arial;sans-serif" w:hAnsi="Arial;sans-serif"/>
          <w:b w:val="false"/>
          <w:color w:val="231F20"/>
          <w:sz w:val="20"/>
        </w:rPr>
        <w:t>holds</w:t>
      </w:r>
      <w:r>
        <w:rPr>
          <w:color w:val="231F20"/>
        </w:rPr>
        <w:t xml:space="preserve"> </w:t>
      </w:r>
      <w:r>
        <w:rPr>
          <w:rFonts w:ascii="Arial;sans-serif" w:hAnsi="Arial;sans-serif"/>
          <w:b w:val="false"/>
          <w:color w:val="231F20"/>
          <w:sz w:val="20"/>
        </w:rPr>
        <w:t>harmless,</w:t>
      </w:r>
      <w:r>
        <w:rPr>
          <w:color w:val="231F20"/>
        </w:rPr>
        <w:t xml:space="preserve"> </w:t>
      </w:r>
      <w:r>
        <w:rPr>
          <w:rFonts w:ascii="Arial;sans-serif" w:hAnsi="Arial;sans-serif"/>
          <w:b w:val="false"/>
          <w:color w:val="231F20"/>
          <w:sz w:val="20"/>
        </w:rPr>
        <w:t>and agrees</w:t>
      </w:r>
      <w:r>
        <w:rPr>
          <w:color w:val="231F20"/>
        </w:rPr>
        <w:t xml:space="preserve"> </w:t>
      </w:r>
      <w:r>
        <w:rPr>
          <w:rFonts w:ascii="Arial;sans-serif" w:hAnsi="Arial;sans-serif"/>
          <w:b w:val="false"/>
          <w:color w:val="231F20"/>
          <w:sz w:val="20"/>
        </w:rPr>
        <w:t>to reimburse</w:t>
      </w:r>
      <w:r>
        <w:rPr>
          <w:color w:val="231F20"/>
        </w:rPr>
        <w:t xml:space="preserve"> </w:t>
      </w:r>
      <w:r>
        <w:rPr>
          <w:rFonts w:ascii="Arial;sans-serif" w:hAnsi="Arial;sans-serif"/>
          <w:b w:val="false"/>
          <w:color w:val="231F20"/>
          <w:sz w:val="20"/>
        </w:rPr>
        <w:t>the indemnified</w:t>
      </w:r>
      <w:r>
        <w:rPr>
          <w:color w:val="231F20"/>
        </w:rPr>
        <w:t xml:space="preserve"> </w:t>
      </w:r>
      <w:r>
        <w:rPr>
          <w:rFonts w:ascii="Arial;sans-serif" w:hAnsi="Arial;sans-serif"/>
          <w:b w:val="false"/>
          <w:color w:val="231F20"/>
          <w:sz w:val="20"/>
        </w:rPr>
        <w:t>parties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losses</w:t>
      </w:r>
      <w:r>
        <w:rPr>
          <w:color w:val="231F20"/>
        </w:rPr>
        <w:t xml:space="preserve"> </w:t>
      </w:r>
      <w:r>
        <w:rPr>
          <w:rFonts w:ascii="Arial;sans-serif" w:hAnsi="Arial;sans-serif"/>
          <w:b w:val="false"/>
          <w:color w:val="231F20"/>
          <w:sz w:val="20"/>
        </w:rPr>
        <w:t>suffered</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indemnified</w:t>
      </w:r>
      <w:r>
        <w:rPr>
          <w:color w:val="231F20"/>
        </w:rPr>
        <w:t xml:space="preserve"> </w:t>
      </w:r>
      <w:r>
        <w:rPr>
          <w:rFonts w:ascii="Arial;sans-serif" w:hAnsi="Arial;sans-serif"/>
          <w:b w:val="false"/>
          <w:color w:val="231F20"/>
          <w:sz w:val="20"/>
        </w:rPr>
        <w:t>party,</w:t>
      </w:r>
      <w:r>
        <w:rPr>
          <w:color w:val="231F20"/>
        </w:rPr>
        <w:t xml:space="preserve"> </w:t>
      </w:r>
      <w:r>
        <w:rPr>
          <w:rFonts w:ascii="Arial;sans-serif" w:hAnsi="Arial;sans-serif"/>
          <w:b w:val="false"/>
          <w:color w:val="231F20"/>
          <w:sz w:val="20"/>
        </w:rPr>
        <w:t>in</w:t>
      </w:r>
      <w:r>
        <w:rPr>
          <w:color w:val="231F20"/>
        </w:rPr>
        <w:t xml:space="preserve"> </w:t>
      </w:r>
      <w:r>
        <w:rPr>
          <w:rFonts w:ascii="Arial;sans-serif" w:hAnsi="Arial;sans-serif"/>
          <w:b w:val="false"/>
          <w:color w:val="231F20"/>
          <w:sz w:val="20"/>
        </w:rPr>
        <w:t>connection</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trade</w:t>
      </w:r>
      <w:r>
        <w:rPr>
          <w:color w:val="231F20"/>
        </w:rPr>
        <w:t xml:space="preserve"> </w:t>
      </w:r>
      <w:r>
        <w:rPr>
          <w:rFonts w:ascii="Arial;sans-serif" w:hAnsi="Arial;sans-serif"/>
          <w:b w:val="false"/>
          <w:color w:val="231F20"/>
          <w:sz w:val="20"/>
        </w:rPr>
        <w:t>secret, copyright,</w:t>
      </w:r>
      <w:r>
        <w:rPr>
          <w:color w:val="231F20"/>
        </w:rPr>
        <w:t xml:space="preserve"> </w:t>
      </w:r>
      <w:r>
        <w:rPr>
          <w:rFonts w:ascii="Arial;sans-serif" w:hAnsi="Arial;sans-serif"/>
          <w:b w:val="false"/>
          <w:color w:val="231F20"/>
          <w:sz w:val="20"/>
        </w:rPr>
        <w:t>patent</w:t>
      </w:r>
      <w:r>
        <w:rPr>
          <w:color w:val="231F20"/>
        </w:rPr>
        <w:t xml:space="preserve"> </w:t>
      </w:r>
      <w:r>
        <w:rPr>
          <w:rFonts w:ascii="Arial;sans-serif" w:hAnsi="Arial;sans-serif"/>
          <w:b w:val="false"/>
          <w:color w:val="231F20"/>
          <w:sz w:val="20"/>
        </w:rPr>
        <w:t>or</w:t>
      </w:r>
      <w:r>
        <w:rPr>
          <w:color w:val="231F20"/>
        </w:rPr>
        <w:t xml:space="preserve"> </w:t>
      </w:r>
      <w:r>
        <w:rPr>
          <w:rFonts w:ascii="Arial;sans-serif" w:hAnsi="Arial;sans-serif"/>
          <w:b w:val="false"/>
          <w:color w:val="231F20"/>
          <w:sz w:val="20"/>
        </w:rPr>
        <w:t>other</w:t>
      </w:r>
      <w:r>
        <w:rPr>
          <w:color w:val="231F20"/>
        </w:rPr>
        <w:t xml:space="preserve"> </w:t>
      </w:r>
      <w:r>
        <w:rPr>
          <w:rFonts w:ascii="Arial;sans-serif" w:hAnsi="Arial;sans-serif"/>
          <w:b w:val="false"/>
          <w:color w:val="231F20"/>
          <w:sz w:val="20"/>
        </w:rPr>
        <w:t>intellectual</w:t>
      </w:r>
      <w:r>
        <w:rPr>
          <w:color w:val="231F20"/>
        </w:rPr>
        <w:t xml:space="preserve"> </w:t>
      </w:r>
      <w:r>
        <w:rPr>
          <w:rFonts w:ascii="Arial;sans-serif" w:hAnsi="Arial;sans-serif"/>
          <w:b w:val="false"/>
          <w:color w:val="231F20"/>
          <w:sz w:val="20"/>
        </w:rPr>
        <w:t>property</w:t>
      </w:r>
      <w:r>
        <w:rPr>
          <w:color w:val="231F20"/>
        </w:rPr>
        <w:t xml:space="preserve"> </w:t>
      </w:r>
      <w:r>
        <w:rPr>
          <w:rFonts w:ascii="Arial;sans-serif" w:hAnsi="Arial;sans-serif"/>
          <w:b w:val="false"/>
          <w:color w:val="231F20"/>
          <w:sz w:val="20"/>
        </w:rPr>
        <w:t>infringement</w:t>
      </w:r>
      <w:r>
        <w:rPr>
          <w:color w:val="231F20"/>
        </w:rPr>
        <w:t xml:space="preserve"> </w:t>
      </w:r>
      <w:r>
        <w:rPr>
          <w:rFonts w:ascii="Arial;sans-serif" w:hAnsi="Arial;sans-serif"/>
          <w:b w:val="false"/>
          <w:color w:val="231F20"/>
          <w:sz w:val="20"/>
        </w:rPr>
        <w:t>claim</w:t>
      </w:r>
      <w:r>
        <w:rPr>
          <w:color w:val="231F20"/>
        </w:rPr>
        <w:t xml:space="preserve"> </w:t>
      </w:r>
      <w:r>
        <w:rPr>
          <w:rFonts w:ascii="Arial;sans-serif" w:hAnsi="Arial;sans-serif"/>
          <w:b w:val="false"/>
          <w:color w:val="231F20"/>
          <w:sz w:val="20"/>
        </w:rPr>
        <w:t>by</w:t>
      </w:r>
      <w:r>
        <w:rPr>
          <w:color w:val="231F20"/>
        </w:rPr>
        <w:t xml:space="preserve"> </w:t>
      </w:r>
      <w:r>
        <w:rPr>
          <w:rFonts w:ascii="Arial;sans-serif" w:hAnsi="Arial;sans-serif"/>
          <w:b w:val="false"/>
          <w:color w:val="231F20"/>
          <w:sz w:val="20"/>
        </w:rPr>
        <w:t>any</w:t>
      </w:r>
      <w:r>
        <w:rPr>
          <w:color w:val="231F20"/>
        </w:rPr>
        <w:t xml:space="preserve"> </w:t>
      </w:r>
      <w:r>
        <w:rPr>
          <w:rFonts w:ascii="Arial;sans-serif" w:hAnsi="Arial;sans-serif"/>
          <w:b w:val="false"/>
          <w:color w:val="231F20"/>
          <w:sz w:val="20"/>
        </w:rPr>
        <w:t>third</w:t>
      </w:r>
      <w:r>
        <w:rPr>
          <w:color w:val="231F20"/>
        </w:rPr>
        <w:t xml:space="preserve"> </w:t>
      </w:r>
      <w:r>
        <w:rPr>
          <w:rFonts w:ascii="Arial;sans-serif" w:hAnsi="Arial;sans-serif"/>
          <w:b w:val="false"/>
          <w:color w:val="231F20"/>
          <w:sz w:val="20"/>
        </w:rPr>
        <w:t>party</w:t>
      </w:r>
      <w:r>
        <w:rPr>
          <w:color w:val="231F20"/>
        </w:rPr>
        <w:t xml:space="preserve"> </w:t>
      </w:r>
      <w:r>
        <w:rPr>
          <w:rFonts w:ascii="Arial;sans-serif" w:hAnsi="Arial;sans-serif"/>
          <w:b w:val="false"/>
          <w:color w:val="231F20"/>
          <w:sz w:val="20"/>
        </w:rPr>
        <w:t>with</w:t>
      </w:r>
      <w:r>
        <w:rPr>
          <w:color w:val="231F20"/>
        </w:rPr>
        <w:t xml:space="preserve"> </w:t>
      </w:r>
      <w:r>
        <w:rPr>
          <w:rFonts w:ascii="Arial;sans-serif" w:hAnsi="Arial;sans-serif"/>
          <w:b w:val="false"/>
          <w:color w:val="231F20"/>
          <w:sz w:val="20"/>
        </w:rPr>
        <w:t>respect</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the Company’s</w:t>
      </w:r>
      <w:r>
        <w:rPr>
          <w:color w:val="231F20"/>
        </w:rPr>
        <w:t xml:space="preserve"> </w:t>
      </w:r>
      <w:r>
        <w:rPr>
          <w:rFonts w:ascii="Arial;sans-serif" w:hAnsi="Arial;sans-serif"/>
          <w:b w:val="false"/>
          <w:color w:val="231F20"/>
          <w:sz w:val="20"/>
        </w:rPr>
        <w:t>technology.</w:t>
      </w:r>
      <w:r>
        <w:rPr>
          <w:color w:val="231F20"/>
        </w:rPr>
        <w:t xml:space="preserve"> </w:t>
      </w:r>
      <w:r>
        <w:rPr>
          <w:rFonts w:ascii="Arial;sans-serif" w:hAnsi="Arial;sans-serif"/>
          <w:b w:val="false"/>
          <w:color w:val="231F20"/>
          <w:sz w:val="20"/>
        </w:rPr>
        <w:t>The term</w:t>
      </w:r>
      <w:r>
        <w:rPr>
          <w:color w:val="231F20"/>
        </w:rPr>
        <w:t xml:space="preserve"> </w:t>
      </w:r>
      <w:r>
        <w:rPr>
          <w:rFonts w:ascii="Arial;sans-serif" w:hAnsi="Arial;sans-serif"/>
          <w:b w:val="false"/>
          <w:color w:val="231F20"/>
          <w:sz w:val="20"/>
        </w:rPr>
        <w:t>of these</w:t>
      </w:r>
      <w:r>
        <w:rPr>
          <w:color w:val="231F20"/>
        </w:rPr>
        <w:t xml:space="preserve"> </w:t>
      </w:r>
      <w:r>
        <w:rPr>
          <w:rFonts w:ascii="Arial;sans-serif" w:hAnsi="Arial;sans-serif"/>
          <w:b w:val="false"/>
          <w:color w:val="231F20"/>
          <w:sz w:val="20"/>
        </w:rPr>
        <w:t>indemnification</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generally</w:t>
      </w:r>
      <w:r>
        <w:rPr>
          <w:color w:val="231F20"/>
        </w:rPr>
        <w:t xml:space="preserve"> </w:t>
      </w:r>
      <w:r>
        <w:rPr>
          <w:rFonts w:ascii="Arial;sans-serif" w:hAnsi="Arial;sans-serif"/>
          <w:b w:val="false"/>
          <w:color w:val="231F20"/>
          <w:sz w:val="20"/>
        </w:rPr>
        <w:t>perpetual</w:t>
      </w:r>
      <w:r>
        <w:rPr>
          <w:color w:val="231F20"/>
        </w:rPr>
        <w:t xml:space="preserve"> </w:t>
      </w:r>
      <w:r>
        <w:rPr>
          <w:rFonts w:ascii="Arial;sans-serif" w:hAnsi="Arial;sans-serif"/>
          <w:b w:val="false"/>
          <w:color w:val="231F20"/>
          <w:sz w:val="20"/>
        </w:rPr>
        <w:t>after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execution of</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agreement.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maximum</w:t>
      </w:r>
      <w:r>
        <w:rPr>
          <w:color w:val="231F20"/>
        </w:rPr>
        <w:t xml:space="preserve"> </w:t>
      </w:r>
      <w:r>
        <w:rPr>
          <w:rFonts w:ascii="Arial;sans-serif" w:hAnsi="Arial;sans-serif"/>
          <w:b w:val="false"/>
          <w:color w:val="231F20"/>
          <w:sz w:val="20"/>
        </w:rPr>
        <w:t>potential</w:t>
      </w:r>
      <w:r>
        <w:rPr>
          <w:color w:val="231F20"/>
        </w:rPr>
        <w:t xml:space="preserve"> </w:t>
      </w:r>
      <w:r>
        <w:rPr>
          <w:rFonts w:ascii="Arial;sans-serif" w:hAnsi="Arial;sans-serif"/>
          <w:b w:val="false"/>
          <w:color w:val="231F20"/>
          <w:sz w:val="20"/>
        </w:rPr>
        <w:t>amount</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future</w:t>
      </w:r>
      <w:r>
        <w:rPr>
          <w:color w:val="231F20"/>
        </w:rPr>
        <w:t xml:space="preserve"> </w:t>
      </w:r>
      <w:r>
        <w:rPr>
          <w:rFonts w:ascii="Arial;sans-serif" w:hAnsi="Arial;sans-serif"/>
          <w:b w:val="false"/>
          <w:color w:val="231F20"/>
          <w:sz w:val="20"/>
        </w:rPr>
        <w:t>payments</w:t>
      </w:r>
      <w:r>
        <w:rPr>
          <w:color w:val="231F20"/>
        </w:rPr>
        <w:t xml:space="preserve"> </w:t>
      </w:r>
      <w:r>
        <w:rPr>
          <w:rFonts w:ascii="Arial;sans-serif" w:hAnsi="Arial;sans-serif"/>
          <w:b w:val="false"/>
          <w:color w:val="231F20"/>
          <w:sz w:val="20"/>
        </w:rPr>
        <w:t>that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could</w:t>
      </w:r>
      <w:r>
        <w:rPr>
          <w:color w:val="231F20"/>
        </w:rPr>
        <w:t xml:space="preserve"> </w:t>
      </w:r>
      <w:r>
        <w:rPr>
          <w:rFonts w:ascii="Arial;sans-serif" w:hAnsi="Arial;sans-serif"/>
          <w:b w:val="false"/>
          <w:color w:val="231F20"/>
          <w:sz w:val="20"/>
        </w:rPr>
        <w:t>be</w:t>
      </w:r>
      <w:r>
        <w:rPr>
          <w:color w:val="231F20"/>
        </w:rPr>
        <w:t xml:space="preserve"> </w:t>
      </w:r>
      <w:r>
        <w:rPr>
          <w:rFonts w:ascii="Arial;sans-serif" w:hAnsi="Arial;sans-serif"/>
          <w:b w:val="false"/>
          <w:color w:val="231F20"/>
          <w:sz w:val="20"/>
        </w:rPr>
        <w:t>required</w:t>
      </w:r>
      <w:r>
        <w:rPr>
          <w:color w:val="231F20"/>
        </w:rPr>
        <w:t xml:space="preserve"> </w:t>
      </w:r>
      <w:r>
        <w:rPr>
          <w:rFonts w:ascii="Arial;sans-serif" w:hAnsi="Arial;sans-serif"/>
          <w:b w:val="false"/>
          <w:color w:val="231F20"/>
          <w:sz w:val="20"/>
        </w:rPr>
        <w:t>to make</w:t>
      </w:r>
      <w:r>
        <w:rPr>
          <w:color w:val="231F20"/>
        </w:rPr>
        <w:t xml:space="preserve"> </w:t>
      </w:r>
      <w:r>
        <w:rPr>
          <w:rFonts w:ascii="Arial;sans-serif" w:hAnsi="Arial;sans-serif"/>
          <w:b w:val="false"/>
          <w:color w:val="231F20"/>
          <w:sz w:val="20"/>
        </w:rPr>
        <w:t>under</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arrangements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determinable.</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w:t>
      </w:r>
      <w:r>
        <w:rPr>
          <w:color w:val="231F20"/>
        </w:rPr>
        <w:t xml:space="preserve"> </w:t>
      </w:r>
      <w:r>
        <w:rPr>
          <w:rFonts w:ascii="Arial;sans-serif" w:hAnsi="Arial;sans-serif"/>
          <w:b w:val="false"/>
          <w:color w:val="231F20"/>
          <w:sz w:val="20"/>
        </w:rPr>
        <w:t>has</w:t>
      </w:r>
      <w:r>
        <w:rPr>
          <w:color w:val="231F20"/>
        </w:rPr>
        <w:t xml:space="preserve"> </w:t>
      </w:r>
      <w:r>
        <w:rPr>
          <w:rFonts w:ascii="Arial;sans-serif" w:hAnsi="Arial;sans-serif"/>
          <w:b w:val="false"/>
          <w:color w:val="231F20"/>
          <w:sz w:val="20"/>
        </w:rPr>
        <w:t>not</w:t>
      </w:r>
      <w:r>
        <w:rPr>
          <w:color w:val="231F20"/>
        </w:rPr>
        <w:t xml:space="preserve"> </w:t>
      </w:r>
      <w:r>
        <w:rPr>
          <w:rFonts w:ascii="Arial;sans-serif" w:hAnsi="Arial;sans-serif"/>
          <w:b w:val="false"/>
          <w:color w:val="231F20"/>
          <w:sz w:val="20"/>
        </w:rPr>
        <w:t>incurred</w:t>
      </w:r>
      <w:r>
        <w:rPr>
          <w:color w:val="231F20"/>
        </w:rPr>
        <w:t xml:space="preserve"> </w:t>
      </w:r>
      <w:r>
        <w:rPr>
          <w:rFonts w:ascii="Arial;sans-serif" w:hAnsi="Arial;sans-serif"/>
          <w:b w:val="false"/>
          <w:color w:val="231F20"/>
          <w:sz w:val="20"/>
        </w:rPr>
        <w:t>material costs</w:t>
      </w:r>
      <w:r>
        <w:rPr>
          <w:color w:val="231F20"/>
        </w:rPr>
        <w:t xml:space="preserve"> </w:t>
      </w:r>
      <w:r>
        <w:rPr>
          <w:rFonts w:ascii="Arial;sans-serif" w:hAnsi="Arial;sans-serif"/>
          <w:b w:val="false"/>
          <w:color w:val="231F20"/>
          <w:sz w:val="20"/>
        </w:rPr>
        <w:t>to</w:t>
      </w:r>
      <w:r>
        <w:rPr>
          <w:color w:val="231F20"/>
        </w:rPr>
        <w:t xml:space="preserve"> </w:t>
      </w:r>
      <w:r>
        <w:rPr>
          <w:rFonts w:ascii="Arial;sans-serif" w:hAnsi="Arial;sans-serif"/>
          <w:b w:val="false"/>
          <w:color w:val="231F20"/>
          <w:sz w:val="20"/>
        </w:rPr>
        <w:t>defend</w:t>
      </w:r>
      <w:r>
        <w:rPr>
          <w:color w:val="231F20"/>
        </w:rPr>
        <w:t xml:space="preserve"> </w:t>
      </w:r>
      <w:r>
        <w:rPr>
          <w:rFonts w:ascii="Arial;sans-serif" w:hAnsi="Arial;sans-serif"/>
          <w:b w:val="false"/>
          <w:color w:val="231F20"/>
          <w:sz w:val="20"/>
        </w:rPr>
        <w:t>lawsuits</w:t>
      </w:r>
      <w:r>
        <w:rPr>
          <w:color w:val="231F20"/>
        </w:rPr>
        <w:t xml:space="preserve"> </w:t>
      </w:r>
      <w:r>
        <w:rPr>
          <w:rFonts w:ascii="Arial;sans-serif" w:hAnsi="Arial;sans-serif"/>
          <w:b w:val="false"/>
          <w:color w:val="231F20"/>
          <w:sz w:val="20"/>
        </w:rPr>
        <w:t>or settle</w:t>
      </w:r>
      <w:r>
        <w:rPr>
          <w:color w:val="231F20"/>
        </w:rPr>
        <w:t xml:space="preserve"> </w:t>
      </w:r>
      <w:r>
        <w:rPr>
          <w:rFonts w:ascii="Arial;sans-serif" w:hAnsi="Arial;sans-serif"/>
          <w:b w:val="false"/>
          <w:color w:val="231F20"/>
          <w:sz w:val="20"/>
        </w:rPr>
        <w:t>claims</w:t>
      </w:r>
      <w:r>
        <w:rPr>
          <w:color w:val="231F20"/>
        </w:rPr>
        <w:t xml:space="preserve"> </w:t>
      </w:r>
      <w:r>
        <w:rPr>
          <w:rFonts w:ascii="Arial;sans-serif" w:hAnsi="Arial;sans-serif"/>
          <w:b w:val="false"/>
          <w:color w:val="231F20"/>
          <w:sz w:val="20"/>
        </w:rPr>
        <w:t>related</w:t>
      </w:r>
      <w:r>
        <w:rPr>
          <w:color w:val="231F20"/>
        </w:rPr>
        <w:t xml:space="preserve"> </w:t>
      </w:r>
      <w:r>
        <w:rPr>
          <w:rFonts w:ascii="Arial;sans-serif" w:hAnsi="Arial;sans-serif"/>
          <w:b w:val="false"/>
          <w:color w:val="231F20"/>
          <w:sz w:val="20"/>
        </w:rPr>
        <w:t>to these</w:t>
      </w:r>
      <w:r>
        <w:rPr>
          <w:color w:val="231F20"/>
        </w:rPr>
        <w:t xml:space="preserve"> </w:t>
      </w:r>
      <w:r>
        <w:rPr>
          <w:rFonts w:ascii="Arial;sans-serif" w:hAnsi="Arial;sans-serif"/>
          <w:b w:val="false"/>
          <w:color w:val="231F20"/>
          <w:sz w:val="20"/>
        </w:rPr>
        <w:t>indemnification</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As a result,</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Company believes</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estimated</w:t>
      </w:r>
      <w:r>
        <w:rPr>
          <w:color w:val="231F20"/>
        </w:rPr>
        <w:t xml:space="preserve"> </w:t>
      </w:r>
      <w:r>
        <w:rPr>
          <w:rFonts w:ascii="Arial;sans-serif" w:hAnsi="Arial;sans-serif"/>
          <w:b w:val="false"/>
          <w:color w:val="231F20"/>
          <w:sz w:val="20"/>
        </w:rPr>
        <w:t>fair value</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these</w:t>
      </w:r>
      <w:r>
        <w:rPr>
          <w:color w:val="231F20"/>
        </w:rPr>
        <w:t xml:space="preserve"> </w:t>
      </w:r>
      <w:r>
        <w:rPr>
          <w:rFonts w:ascii="Arial;sans-serif" w:hAnsi="Arial;sans-serif"/>
          <w:b w:val="false"/>
          <w:color w:val="231F20"/>
          <w:sz w:val="20"/>
        </w:rPr>
        <w:t>agreements</w:t>
      </w:r>
      <w:r>
        <w:rPr>
          <w:color w:val="231F20"/>
        </w:rPr>
        <w:t xml:space="preserve"> </w:t>
      </w:r>
      <w:r>
        <w:rPr>
          <w:rFonts w:ascii="Arial;sans-serif" w:hAnsi="Arial;sans-serif"/>
          <w:b w:val="false"/>
          <w:color w:val="231F20"/>
          <w:sz w:val="20"/>
        </w:rPr>
        <w:t>is</w:t>
      </w:r>
      <w:r>
        <w:rPr>
          <w:color w:val="231F20"/>
        </w:rPr>
        <w:t xml:space="preserve"> </w:t>
      </w:r>
      <w:r>
        <w:rPr>
          <w:rFonts w:ascii="Arial;sans-serif" w:hAnsi="Arial;sans-serif"/>
          <w:b w:val="false"/>
          <w:color w:val="231F20"/>
          <w:sz w:val="20"/>
        </w:rPr>
        <w:t>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83845"/>
                <wp:effectExtent l="0" t="0" r="0" b="0"/>
                <wp:wrapNone/>
                <wp:docPr id="200" name="Frame19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187</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11.</w:t>
      </w:r>
      <w:r>
        <w:rPr>
          <w:color w:val="231F20"/>
        </w:rPr>
        <w:t xml:space="preserve"> </w:t>
      </w:r>
      <w:r>
        <w:rPr>
          <w:rFonts w:ascii="Arial;sans-serif" w:hAnsi="Arial;sans-serif"/>
          <w:b/>
          <w:color w:val="000000"/>
          <w:sz w:val="20"/>
        </w:rPr>
        <w:t>LEGAL AND REGULATORY PROCEEDINGS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Company is subject to various claims, complaints, regulatory proceedings, and legal actions that arise from time to time in the ordinary course of business.</w:t>
      </w:r>
    </w:p>
    <w:p>
      <w:pPr>
        <w:pStyle w:val="TextBody"/>
        <w:bidi w:val="0"/>
        <w:spacing w:lineRule="auto" w:line="288" w:before="240" w:after="283"/>
        <w:ind w:left="0" w:right="0" w:firstLine="420"/>
        <w:jc w:val="left"/>
        <w:rPr>
          <w:rFonts w:ascii="Arial;sans-serif" w:hAnsi="Arial;sans-serif"/>
          <w:b/>
          <w:i/>
          <w:color w:val="000000"/>
          <w:sz w:val="20"/>
        </w:rPr>
      </w:pPr>
      <w:r>
        <w:rPr>
          <w:rFonts w:ascii="Arial;sans-serif" w:hAnsi="Arial;sans-serif"/>
          <w:b/>
          <w:i/>
          <w:color w:val="000000"/>
          <w:sz w:val="20"/>
        </w:rPr>
        <w:t>Federal Securities Class Actions</w:t>
      </w:r>
    </w:p>
    <w:p>
      <w:pPr>
        <w:pStyle w:val="TextBody"/>
        <w:bidi w:val="0"/>
        <w:spacing w:lineRule="auto" w:line="288" w:before="240" w:after="283"/>
        <w:ind w:left="0" w:right="0" w:firstLine="720"/>
        <w:jc w:val="left"/>
        <w:rPr>
          <w:rFonts w:ascii="Arial;sans-serif" w:hAnsi="Arial;sans-serif"/>
          <w:b w:val="false"/>
          <w:color w:val="231F20"/>
          <w:sz w:val="20"/>
        </w:rPr>
      </w:pPr>
      <w:r>
        <w:rPr>
          <w:rFonts w:ascii="Arial;sans-serif" w:hAnsi="Arial;sans-serif"/>
          <w:b w:val="false"/>
          <w:color w:val="231F20"/>
          <w:sz w:val="20"/>
        </w:rPr>
        <w:t>On November 11, 2023, the first of three securities class action complaints was filed against Illumina and certain of its current and former executive officers in the United States District Court for the Southern District of California. The first-filed case is captioned Kangas v. Illumina, Inc. et al., the second-filed case is captioned Roy v. Illumina, Inc. et al., and the third-filed case is captioned Louisiana Sheriffs’ Pension &amp; Relief Fund v. Illumina, Inc. et al. (collectively, the “Actions”). The complaints generally allege, among other things, that defendants made materially false and misleading statements and omitted material facts relating to Illumina’s acquisition of Grail. The complaints seek unspecified damages, interest, fees, and costs. On January 9, 2024, four movants filed motions to consolidate the Actions and to appoint a lead plaintiff (“Lead Plaintiff Motions”). On April 11, 2024, the Court issued an order consolidating the Actions into a single action (captioned in re Illumina, Inc. Securities Litigation No. 23-cv-2082-LL-MMP), and appointed Universal-Investment-Gesellschaft mbH, UI BVK Kapitalverwaltungsgesellschaft mbH, and ACATIS Investment Kapitalverwaltungsgesellschaft mbH as lead plaintiffs. (the “Lead Plaintiffs”). On June 21, 2024, the Lead Plaintiffs filed a consolidated amended complaint. The amended complaint alleges that GRAIL, in addition to Illumina, and certain of their respective current and former directors and others violated sections 10(b) and 20(a) of the Securities Exchange Act and SEC Rule 10b-5 in connection with Illumina's acquisition of GRAIL and disclosures concerning the same. GRAIL has an indemnification obligation for certain current and former directors and officers involved in the matter pursuant to indemnification agreements entered into by these individuals and GRAIL. On September 13, 2024 the plaintiffs further amended the complaint. On November 12, 2024, the Company moved to dismiss Lead Plaintiffs’ second amended complaint for failure to state a claim under Sections 10(b) and 20(a) of the Exchange Act. Lead Plaintiffs filed their opposition to the motion to dismiss on December 20, 2024, and the Company filed its reply in support of its motion to dismiss on February 3, 2025. On September 26, 2025, the court granted the motion to dismiss for failure to state a claim with leave to amend, and ordered the plaintiffs to file an amended complaint, if any, by October 27, 2025. On October 27, 2025, the Lead Plaintiffs filed their third amended complaint. On December 12, 2025, the Company filed a motion to dismiss Lead Plaintiffs’ third amended complaint. In light of the fact that the lawsuits are in an early stage, the Company cannot predict the ultimate outcome of the suits.</w:t>
      </w:r>
    </w:p>
    <w:p>
      <w:pPr>
        <w:pStyle w:val="TextBody"/>
        <w:bidi w:val="0"/>
        <w:spacing w:lineRule="auto" w:line="288" w:before="240" w:after="283"/>
        <w:ind w:left="0" w:right="0" w:firstLine="420"/>
        <w:jc w:val="left"/>
        <w:rPr>
          <w:rFonts w:ascii="Arial;sans-serif" w:hAnsi="Arial;sans-serif"/>
          <w:b/>
          <w:i/>
          <w:color w:val="000000"/>
          <w:sz w:val="20"/>
        </w:rPr>
      </w:pPr>
      <w:r>
        <w:rPr>
          <w:rFonts w:ascii="Arial;sans-serif" w:hAnsi="Arial;sans-serif"/>
          <w:b/>
          <w:i/>
          <w:color w:val="000000"/>
          <w:sz w:val="20"/>
        </w:rPr>
        <w:t>Other Legal Matters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Legal matters include various claims, complaints, and legal actions that arise from time to time. In addition to direct involvement in legal matters, the Company has entered into indemnification agreements with each of its current and former directors, executive officers, and certain other officers to provide these directors and officers, and has certain indemnification obligations under the Company’s charter and bylaws to these individuals, which may give rise to liability for the Company even if the Company is not directly named. The Company has indemnification obligations in respect of the Actions and with respect to other legal matters that may arise, or have arisen,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Company is involved in various lawsuits and claims arising in the ordinary course of business, including actions with respect to employment matters. In connection with these matters, the Company assesses,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The Company regularly reviews outstanding legal matters to determine the adequacy of the liabilities accrued and related disclosures. The Company may change its estimates if its assessment of the various factors changes and the amount of ultimate loss may differ from estimates, resulting in a material effect on the Company’s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83845"/>
                <wp:effectExtent l="0" t="0" r="0" b="0"/>
                <wp:wrapNone/>
                <wp:docPr id="201" name="Frame19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188</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pPr>
      <w:r>
        <w:rPr>
          <w:rFonts w:ascii="Arial;sans-serif" w:hAnsi="Arial;sans-serif"/>
          <w:b w:val="false"/>
          <w:color w:val="000000"/>
          <w:sz w:val="20"/>
        </w:rPr>
        <w:t xml:space="preserve">financial condition, results of operations, and/or cash flows. As of </w:t>
      </w:r>
      <w:r>
        <w:rPr>
          <w:rFonts w:ascii="Arial;sans-serif" w:hAnsi="Arial;sans-serif"/>
          <w:b w:val="false"/>
          <w:color w:val="231F20"/>
          <w:sz w:val="20"/>
        </w:rPr>
        <w:t>December 31, 2025</w:t>
      </w:r>
      <w:r>
        <w:rPr>
          <w:rFonts w:ascii="Arial;sans-serif" w:hAnsi="Arial;sans-serif"/>
          <w:b w:val="false"/>
          <w:color w:val="000000"/>
          <w:sz w:val="20"/>
        </w:rPr>
        <w:t>, the Company is unable to estimate a range of possible loss in excess of the amounts accrued</w:t>
      </w:r>
      <w:r>
        <w:rPr>
          <w:rFonts w:ascii="Times New Roman;serif" w:hAnsi="Times New Roman;serif"/>
          <w:b w:val="false"/>
          <w:color w:val="000000"/>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connection with the Spin-Off, Illumina provided the Company with disposal funding in the amount of $932.3 million in accordance with the Separation and Distribution Agreement, which was subject to a clawback feature that lapsed on September 24, 2025.</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June 21, 2024, in connection with the Spin-Off, Illumina and the Company also entered into the Tax Matters Agreement to govern the respective rights, responsibilities and obligations of Illumina and the Company after the Spin-Off with respect to all tax matters and will include restrictions to preserve the tax-free status of the Distribution. The Tax Matters Agreement included a number of restrictions on the Company to preserve the intended tax treatment of the Spin-Off. Breach of any covenant or representation contained in the Tax Matters Agreement will result in liability to specific separation taxes. As of December 31, 2025, as it was not probable that the Company will breach the agreement, no contingent liability was recorded in connection with the Tax Matters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12. RESTRUCTURING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August 9, 2024, following a portfolio review, the Company’s Board of Directors approved a restructuring plan (“Restructuring Plan”) designed to re-prioritize the Company’s resources to focus on its core MCED business and reduce overall spend as the Company progresses towards completion of registrational studies and premarket approval application submission. The Restructuring Plan was substantially completed in the fourth quarter of 2024, and the Company incurred approximately $18.3 million of total restructuring charges from August 9, 2024 through December 31, 2024, consisting primarily of employee severance, benefits, payroll taxes, asset impairments and other associated costs. The following table presents the total restructuring charges by function for the periods indicated:</w:t>
      </w:r>
    </w:p>
    <w:tbl>
      <w:tblPr>
        <w:tblW w:w="7829" w:type="dxa"/>
        <w:jc w:val="left"/>
        <w:tblInd w:w="0" w:type="dxa"/>
        <w:tblLayout w:type="fixed"/>
        <w:tblCellMar>
          <w:top w:w="28" w:type="dxa"/>
          <w:left w:w="28" w:type="dxa"/>
          <w:bottom w:w="28" w:type="dxa"/>
          <w:right w:w="28" w:type="dxa"/>
        </w:tblCellMar>
      </w:tblPr>
      <w:tblGrid>
        <w:gridCol w:w="863"/>
        <w:gridCol w:w="758"/>
        <w:gridCol w:w="764"/>
        <w:gridCol w:w="769"/>
        <w:gridCol w:w="1756"/>
        <w:gridCol w:w="399"/>
        <w:gridCol w:w="109"/>
        <w:gridCol w:w="109"/>
        <w:gridCol w:w="109"/>
        <w:gridCol w:w="286"/>
        <w:gridCol w:w="632"/>
        <w:gridCol w:w="147"/>
        <w:gridCol w:w="109"/>
        <w:gridCol w:w="109"/>
        <w:gridCol w:w="109"/>
        <w:gridCol w:w="211"/>
        <w:gridCol w:w="43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Severance and related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7"/>
              <w:jc w:val="center"/>
              <w:rPr>
                <w:rFonts w:ascii="Arial;sans-serif" w:hAnsi="Arial;sans-serif"/>
                <w:b/>
                <w:color w:val="000000"/>
                <w:sz w:val="16"/>
              </w:rPr>
            </w:pPr>
            <w:r>
              <w:rPr>
                <w:rFonts w:ascii="Arial;sans-serif" w:hAnsi="Arial;sans-serif"/>
                <w:b/>
                <w:color w:val="000000"/>
                <w:sz w:val="16"/>
              </w:rPr>
              <w:t>Total</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2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14" w:type="dxa"/>
        <w:jc w:val="left"/>
        <w:tblInd w:w="0" w:type="dxa"/>
        <w:tblLayout w:type="fixed"/>
        <w:tblCellMar>
          <w:top w:w="28" w:type="dxa"/>
          <w:left w:w="28" w:type="dxa"/>
          <w:bottom w:w="28" w:type="dxa"/>
          <w:right w:w="28" w:type="dxa"/>
        </w:tblCellMar>
      </w:tblPr>
      <w:tblGrid>
        <w:gridCol w:w="864"/>
        <w:gridCol w:w="758"/>
        <w:gridCol w:w="762"/>
        <w:gridCol w:w="593"/>
        <w:gridCol w:w="2026"/>
        <w:gridCol w:w="306"/>
        <w:gridCol w:w="109"/>
        <w:gridCol w:w="109"/>
        <w:gridCol w:w="109"/>
        <w:gridCol w:w="286"/>
        <w:gridCol w:w="632"/>
        <w:gridCol w:w="147"/>
        <w:gridCol w:w="109"/>
        <w:gridCol w:w="109"/>
        <w:gridCol w:w="109"/>
        <w:gridCol w:w="211"/>
        <w:gridCol w:w="72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2024</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Severance and related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8,783 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18"/>
              </w:rPr>
            </w:pPr>
            <w:r>
              <w:rPr>
                <w:rFonts w:ascii="Arial;sans-serif" w:hAnsi="Arial;sans-serif"/>
                <w:b w:val="false"/>
                <w:color w:val="000000"/>
                <w:sz w:val="18"/>
              </w:rPr>
              <w:t>Sales and marketing</w:t>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2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18"/>
              </w:rPr>
            </w:pPr>
            <w:r>
              <w:rPr>
                <w:rFonts w:ascii="Arial;sans-serif" w:hAnsi="Arial;sans-serif"/>
                <w:b w:val="false"/>
                <w:color w:val="000000"/>
                <w:sz w:val="18"/>
              </w:rPr>
              <w:t>Total</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17,538 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83845"/>
                <wp:effectExtent l="0" t="0" r="0" b="0"/>
                <wp:wrapNone/>
                <wp:docPr id="202" name="Frame19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189</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of December 31, 2025, the Company had no remaining restructuring liability. The following table summarizes the restructuring-related liabilities:</w:t>
      </w:r>
    </w:p>
    <w:tbl>
      <w:tblPr>
        <w:tblW w:w="10205" w:type="dxa"/>
        <w:jc w:val="left"/>
        <w:tblInd w:w="0" w:type="dxa"/>
        <w:tblLayout w:type="fixed"/>
        <w:tblCellMar>
          <w:top w:w="28" w:type="dxa"/>
          <w:left w:w="28" w:type="dxa"/>
          <w:bottom w:w="28" w:type="dxa"/>
          <w:right w:w="28" w:type="dxa"/>
        </w:tblCellMar>
      </w:tblPr>
      <w:tblGrid>
        <w:gridCol w:w="1722"/>
        <w:gridCol w:w="1514"/>
        <w:gridCol w:w="1521"/>
        <w:gridCol w:w="542"/>
        <w:gridCol w:w="1854"/>
        <w:gridCol w:w="280"/>
        <w:gridCol w:w="109"/>
        <w:gridCol w:w="109"/>
        <w:gridCol w:w="109"/>
        <w:gridCol w:w="276"/>
        <w:gridCol w:w="610"/>
        <w:gridCol w:w="142"/>
        <w:gridCol w:w="109"/>
        <w:gridCol w:w="109"/>
        <w:gridCol w:w="109"/>
        <w:gridCol w:w="211"/>
        <w:gridCol w:w="721"/>
        <w:gridCol w:w="158"/>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2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Severance and related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7"/>
              <w:jc w:val="center"/>
              <w:rPr>
                <w:rFonts w:ascii="Arial;sans-serif" w:hAnsi="Arial;sans-serif"/>
                <w:b/>
                <w:color w:val="000000"/>
                <w:sz w:val="16"/>
              </w:rPr>
            </w:pPr>
            <w:r>
              <w:rPr>
                <w:rFonts w:ascii="Arial;sans-serif" w:hAnsi="Arial;sans-serif"/>
                <w:b/>
                <w:color w:val="000000"/>
                <w:sz w:val="16"/>
              </w:rPr>
              <w:t>Total</w:t>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17,538 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payments made</w:t>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(16,732)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(17,186)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charges</w:t>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 recorded in accrued liabilities as of December 31, 2024</w:t>
            </w:r>
          </w:p>
        </w:tc>
        <w:tc>
          <w:tcPr>
            <w:tcW w:w="2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payments made</w:t>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18"/>
              </w:rPr>
            </w:pPr>
            <w:r>
              <w:rPr>
                <w:rFonts w:ascii="Arial;sans-serif" w:hAnsi="Arial;sans-serif"/>
                <w:b w:val="false"/>
                <w:color w:val="000000"/>
                <w:sz w:val="18"/>
              </w:rPr>
              <w:t>Amount recorded in accrued liabilities as of December 31, 2025</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rPr>
        <w:t>NOTE 13.</w:t>
      </w:r>
      <w:r>
        <w:rPr>
          <w:color w:val="231F20"/>
        </w:rPr>
        <w:t xml:space="preserve"> </w:t>
      </w:r>
      <w:r>
        <w:rPr>
          <w:rFonts w:ascii="Arial;sans-serif" w:hAnsi="Arial;sans-serif"/>
          <w:b/>
          <w:color w:val="000000"/>
          <w:sz w:val="20"/>
        </w:rPr>
        <w:t>NET LOSS PER SHARE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Prior to the Spin-Off, the Company had no common shares issued and outstanding. In connection with the Spin-Off, on June 24, 2024, there were 31.0 million shares of GRAIL common stock distributed to Illumina stockholders. This share amount is utilized for the calculation of basic and diluted earnings per share for all periods presented prior to the Spin-Off. For the year ended December 31, 2023 these shares are treated as issued and outstanding for purposes of calculating historical earnings per share.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the calculation of the Company’s basic and diluted net loss per share :</w:t>
      </w:r>
    </w:p>
    <w:tbl>
      <w:tblPr>
        <w:tblW w:w="9866" w:type="dxa"/>
        <w:jc w:val="left"/>
        <w:tblInd w:w="0" w:type="dxa"/>
        <w:tblLayout w:type="fixed"/>
        <w:tblCellMar>
          <w:top w:w="28" w:type="dxa"/>
          <w:left w:w="28" w:type="dxa"/>
          <w:bottom w:w="28" w:type="dxa"/>
          <w:right w:w="28" w:type="dxa"/>
        </w:tblCellMar>
      </w:tblPr>
      <w:tblGrid>
        <w:gridCol w:w="1883"/>
        <w:gridCol w:w="1655"/>
        <w:gridCol w:w="1666"/>
        <w:gridCol w:w="211"/>
        <w:gridCol w:w="901"/>
        <w:gridCol w:w="109"/>
        <w:gridCol w:w="109"/>
        <w:gridCol w:w="109"/>
        <w:gridCol w:w="109"/>
        <w:gridCol w:w="211"/>
        <w:gridCol w:w="1051"/>
        <w:gridCol w:w="109"/>
        <w:gridCol w:w="109"/>
        <w:gridCol w:w="109"/>
        <w:gridCol w:w="109"/>
        <w:gridCol w:w="211"/>
        <w:gridCol w:w="1051"/>
        <w:gridCol w:w="154"/>
      </w:tblGrid>
      <w:tr>
        <w:trPr/>
        <w:tc>
          <w:tcPr>
            <w:tcW w:w="188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thousands, except share and per share data)</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Numerator</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(1,465,685)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Denominator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88"/>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of common stock—basic and diluted</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36,753,751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31,901,259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31,049,148</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Net loss per share </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Since the Company was in a loss position for all periods presented, basic net loss per share is the same as diluted net loss per share, as the inclusion of all potential shares of common stock outstanding would have been anti-dilutive.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common stock equivalents were excluded from the calculation of diluted net loss per share for the periods presented as they had an anti-dilutive effect:</w:t>
      </w:r>
    </w:p>
    <w:tbl>
      <w:tblPr>
        <w:tblW w:w="7446" w:type="dxa"/>
        <w:jc w:val="left"/>
        <w:tblInd w:w="0" w:type="dxa"/>
        <w:tblLayout w:type="fixed"/>
        <w:tblCellMar>
          <w:top w:w="28" w:type="dxa"/>
          <w:left w:w="28" w:type="dxa"/>
          <w:bottom w:w="28" w:type="dxa"/>
          <w:right w:w="28" w:type="dxa"/>
        </w:tblCellMar>
      </w:tblPr>
      <w:tblGrid>
        <w:gridCol w:w="1042"/>
        <w:gridCol w:w="917"/>
        <w:gridCol w:w="920"/>
        <w:gridCol w:w="488"/>
        <w:gridCol w:w="488"/>
        <w:gridCol w:w="391"/>
        <w:gridCol w:w="109"/>
        <w:gridCol w:w="109"/>
        <w:gridCol w:w="109"/>
        <w:gridCol w:w="432"/>
        <w:gridCol w:w="394"/>
        <w:gridCol w:w="391"/>
        <w:gridCol w:w="109"/>
        <w:gridCol w:w="109"/>
        <w:gridCol w:w="109"/>
        <w:gridCol w:w="434"/>
        <w:gridCol w:w="392"/>
        <w:gridCol w:w="5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Unvested restricted stock units</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4,831,956 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5,523,029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6,564,282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Unvested performance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104,315 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104,315 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104,315 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Unvested performance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issuable under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74,453 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5,041,724 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5,627,344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6,668,597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83845"/>
                <wp:effectExtent l="0" t="0" r="0" b="0"/>
                <wp:wrapNone/>
                <wp:docPr id="203" name="Frame19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190</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14.</w:t>
      </w:r>
      <w:r>
        <w:rPr>
          <w:color w:val="231F20"/>
        </w:rPr>
        <w:t xml:space="preserve"> </w:t>
      </w:r>
      <w:r>
        <w:rPr>
          <w:rFonts w:ascii="Arial;sans-serif" w:hAnsi="Arial;sans-serif"/>
          <w:b/>
          <w:color w:val="000000"/>
          <w:sz w:val="20"/>
        </w:rPr>
        <w:t>TAXES</w:t>
      </w:r>
    </w:p>
    <w:p>
      <w:pPr>
        <w:pStyle w:val="TextBody"/>
        <w:bidi w:val="0"/>
        <w:spacing w:lineRule="auto" w:line="288" w:before="120" w:after="283"/>
        <w:ind w:left="0" w:right="0" w:firstLine="450"/>
        <w:jc w:val="left"/>
        <w:rPr>
          <w:rFonts w:ascii="Arial;sans-serif" w:hAnsi="Arial;sans-serif"/>
          <w:b w:val="false"/>
          <w:color w:val="231F20"/>
          <w:sz w:val="20"/>
        </w:rPr>
      </w:pPr>
      <w:r>
        <w:rPr>
          <w:rFonts w:ascii="Arial;sans-serif" w:hAnsi="Arial;sans-serif"/>
          <w:b w:val="false"/>
          <w:color w:val="231F20"/>
          <w:sz w:val="20"/>
        </w:rPr>
        <w:t>Loss before income taxes summarized by region was as follows:</w:t>
      </w:r>
    </w:p>
    <w:tbl>
      <w:tblPr>
        <w:tblW w:w="8081" w:type="dxa"/>
        <w:jc w:val="center"/>
        <w:tblInd w:w="0" w:type="dxa"/>
        <w:tblLayout w:type="fixed"/>
        <w:tblCellMar>
          <w:top w:w="28" w:type="dxa"/>
          <w:left w:w="28" w:type="dxa"/>
          <w:bottom w:w="28" w:type="dxa"/>
          <w:right w:w="28" w:type="dxa"/>
        </w:tblCellMar>
      </w:tblPr>
      <w:tblGrid>
        <w:gridCol w:w="1239"/>
        <w:gridCol w:w="1087"/>
        <w:gridCol w:w="1093"/>
        <w:gridCol w:w="211"/>
        <w:gridCol w:w="901"/>
        <w:gridCol w:w="109"/>
        <w:gridCol w:w="109"/>
        <w:gridCol w:w="109"/>
        <w:gridCol w:w="109"/>
        <w:gridCol w:w="211"/>
        <w:gridCol w:w="1051"/>
        <w:gridCol w:w="109"/>
        <w:gridCol w:w="109"/>
        <w:gridCol w:w="109"/>
        <w:gridCol w:w="109"/>
        <w:gridCol w:w="211"/>
        <w:gridCol w:w="105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(540,192)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(2,165,006)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(1,509,885)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3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0"/>
              <w:jc w:val="left"/>
              <w:rPr>
                <w:rFonts w:ascii="Arial;sans-serif" w:hAnsi="Arial;sans-serif"/>
                <w:b/>
                <w:color w:val="231F20"/>
                <w:sz w:val="18"/>
              </w:rPr>
            </w:pPr>
            <w:r>
              <w:rPr>
                <w:rFonts w:ascii="Arial;sans-serif" w:hAnsi="Arial;sans-serif"/>
                <w:b/>
                <w:color w:val="231F20"/>
                <w:sz w:val="18"/>
              </w:rPr>
              <w:t>Loss before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(534,504)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(2,162,361)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(1,507,636)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benefit from income taxes consisted of the following:</w:t>
      </w:r>
    </w:p>
    <w:tbl>
      <w:tblPr>
        <w:tblW w:w="8044" w:type="dxa"/>
        <w:jc w:val="center"/>
        <w:tblInd w:w="0" w:type="dxa"/>
        <w:tblLayout w:type="fixed"/>
        <w:tblCellMar>
          <w:top w:w="28" w:type="dxa"/>
          <w:left w:w="28" w:type="dxa"/>
          <w:bottom w:w="28" w:type="dxa"/>
          <w:right w:w="28" w:type="dxa"/>
        </w:tblCellMar>
      </w:tblPr>
      <w:tblGrid>
        <w:gridCol w:w="1353"/>
        <w:gridCol w:w="1186"/>
        <w:gridCol w:w="1195"/>
        <w:gridCol w:w="211"/>
        <w:gridCol w:w="901"/>
        <w:gridCol w:w="109"/>
        <w:gridCol w:w="109"/>
        <w:gridCol w:w="109"/>
        <w:gridCol w:w="109"/>
        <w:gridCol w:w="211"/>
        <w:gridCol w:w="901"/>
        <w:gridCol w:w="109"/>
        <w:gridCol w:w="109"/>
        <w:gridCol w:w="109"/>
        <w:gridCol w:w="109"/>
        <w:gridCol w:w="220"/>
        <w:gridCol w:w="833"/>
        <w:gridCol w:w="161"/>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Current taxes: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Foreign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(3,798)</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3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0"/>
              <w:jc w:val="left"/>
              <w:rPr>
                <w:rFonts w:ascii="Arial;sans-serif" w:hAnsi="Arial;sans-serif"/>
                <w:b/>
                <w:color w:val="231F20"/>
                <w:sz w:val="18"/>
              </w:rPr>
            </w:pPr>
            <w:r>
              <w:rPr>
                <w:rFonts w:ascii="Arial;sans-serif" w:hAnsi="Arial;sans-serif"/>
                <w:b/>
                <w:color w:val="231F20"/>
                <w:sz w:val="18"/>
              </w:rPr>
              <w:t>Total current income tax expense/(benefit)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(3,798)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taxes:</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(92,184)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(22,019)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(16,134)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3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0"/>
              <w:jc w:val="left"/>
              <w:rPr>
                <w:rFonts w:ascii="Arial;sans-serif" w:hAnsi="Arial;sans-serif"/>
                <w:b/>
                <w:color w:val="231F20"/>
                <w:sz w:val="18"/>
              </w:rPr>
            </w:pPr>
            <w:r>
              <w:rPr>
                <w:rFonts w:ascii="Arial;sans-serif" w:hAnsi="Arial;sans-serif"/>
                <w:b/>
                <w:color w:val="231F20"/>
                <w:sz w:val="18"/>
              </w:rPr>
              <w:t>Total deferred income tax benefit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(133,728)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(38,153)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color w:val="231F20"/>
                <w:sz w:val="18"/>
              </w:rPr>
            </w:pPr>
            <w:r>
              <w:rPr>
                <w:rFonts w:ascii="Arial;sans-serif" w:hAnsi="Arial;sans-serif"/>
                <w:b/>
                <w:color w:val="231F20"/>
                <w:sz w:val="18"/>
              </w:rPr>
              <w:t>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(135,356)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(41,951)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benefit from income taxes reconciles to the amount computed by applying the federal statutory rate to loss before income taxes as follows:</w:t>
      </w:r>
    </w:p>
    <w:tbl>
      <w:tblPr>
        <w:tblW w:w="10205" w:type="dxa"/>
        <w:jc w:val="left"/>
        <w:tblInd w:w="0" w:type="dxa"/>
        <w:tblLayout w:type="fixed"/>
        <w:tblCellMar>
          <w:top w:w="28" w:type="dxa"/>
          <w:left w:w="28" w:type="dxa"/>
          <w:bottom w:w="28" w:type="dxa"/>
          <w:right w:w="28" w:type="dxa"/>
        </w:tblCellMar>
      </w:tblPr>
      <w:tblGrid>
        <w:gridCol w:w="1024"/>
        <w:gridCol w:w="671"/>
        <w:gridCol w:w="675"/>
        <w:gridCol w:w="211"/>
        <w:gridCol w:w="873"/>
        <w:gridCol w:w="109"/>
        <w:gridCol w:w="109"/>
        <w:gridCol w:w="109"/>
        <w:gridCol w:w="109"/>
        <w:gridCol w:w="255"/>
        <w:gridCol w:w="256"/>
        <w:gridCol w:w="271"/>
        <w:gridCol w:w="109"/>
        <w:gridCol w:w="109"/>
        <w:gridCol w:w="109"/>
        <w:gridCol w:w="211"/>
        <w:gridCol w:w="873"/>
        <w:gridCol w:w="109"/>
        <w:gridCol w:w="109"/>
        <w:gridCol w:w="109"/>
        <w:gridCol w:w="109"/>
        <w:gridCol w:w="255"/>
        <w:gridCol w:w="256"/>
        <w:gridCol w:w="271"/>
        <w:gridCol w:w="109"/>
        <w:gridCol w:w="109"/>
        <w:gridCol w:w="109"/>
        <w:gridCol w:w="211"/>
        <w:gridCol w:w="873"/>
        <w:gridCol w:w="109"/>
        <w:gridCol w:w="109"/>
        <w:gridCol w:w="109"/>
        <w:gridCol w:w="109"/>
        <w:gridCol w:w="277"/>
        <w:gridCol w:w="280"/>
        <w:gridCol w:w="500"/>
      </w:tblGrid>
      <w:tr>
        <w:trPr/>
        <w:tc>
          <w:tcPr>
            <w:tcW w:w="10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2302"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2577"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Tax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(112,246)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(454,122)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(316,603)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pPr>
            <w:r>
              <w:rPr>
                <w:rFonts w:ascii="Arial;sans-serif" w:hAnsi="Arial;sans-serif"/>
                <w:b w:val="false"/>
                <w:color w:val="231F20"/>
                <w:sz w:val="18"/>
              </w:rPr>
              <w:t>State, net of federal benefit</w:t>
            </w:r>
            <w:r>
              <w:rPr>
                <w:rFonts w:ascii="Arial;sans-serif" w:hAnsi="Arial;sans-serif"/>
                <w:b w:val="false"/>
                <w:color w:val="231F20"/>
                <w:sz w:val="12"/>
              </w:rPr>
              <w:t>(1)</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(29,235)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Tax credits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Arial;sans-serif" w:hAnsi="Arial;sans-serif"/>
                <w:b w:val="false"/>
                <w:color w:val="231F20"/>
                <w:sz w:val="18"/>
              </w:rPr>
            </w:pPr>
            <w:r>
              <w:rPr>
                <w:rFonts w:ascii="Arial;sans-serif" w:hAnsi="Arial;sans-serif"/>
                <w:b w:val="false"/>
                <w:color w:val="231F20"/>
                <w:sz w:val="18"/>
              </w:rPr>
              <w:t>Research tax credits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31"/>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Change in valuation allowance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Nontaxable or nondeductible items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Arial;sans-serif" w:hAnsi="Arial;sans-serif"/>
                <w:b w:val="false"/>
                <w:color w:val="231F20"/>
                <w:sz w:val="18"/>
              </w:rPr>
            </w:pPr>
            <w:r>
              <w:rPr>
                <w:rFonts w:ascii="Arial;sans-serif" w:hAnsi="Arial;sans-serif"/>
                <w:b w:val="false"/>
                <w:color w:val="231F20"/>
                <w:sz w:val="18"/>
              </w:rPr>
              <w:t>Goodwill impairment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firstLine="180"/>
              <w:jc w:val="left"/>
              <w:rPr>
                <w:rFonts w:ascii="Arial;sans-serif" w:hAnsi="Arial;sans-serif"/>
                <w:b w:val="false"/>
                <w:color w:val="231F20"/>
                <w:sz w:val="18"/>
              </w:rPr>
            </w:pPr>
            <w:r>
              <w:rPr>
                <w:rFonts w:ascii="Arial;sans-serif" w:hAnsi="Arial;sans-serif"/>
                <w:b w:val="false"/>
                <w:color w:val="231F20"/>
                <w:sz w:val="18"/>
              </w:rPr>
              <w:t>Stock compensation</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31"/>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Other</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color w:val="231F20"/>
                <w:sz w:val="18"/>
              </w:rPr>
            </w:pPr>
            <w:r>
              <w:rPr>
                <w:rFonts w:ascii="Arial;sans-serif" w:hAnsi="Arial;sans-serif"/>
                <w:b/>
                <w:color w:val="231F20"/>
                <w:sz w:val="18"/>
              </w:rPr>
              <w:t>Total tax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(126,153)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(41,951)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State taxes in California, Georgia, New York, New York City, and Illinois made up the majority (greater than 50 percent) of the tax effect in this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83845"/>
                <wp:effectExtent l="0" t="0" r="0" b="0"/>
                <wp:wrapNone/>
                <wp:docPr id="204" name="Frame19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191</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Significant components of deferred tax assets and liabilities were as follows:</w:t>
      </w:r>
    </w:p>
    <w:tbl>
      <w:tblPr>
        <w:tblW w:w="8036" w:type="dxa"/>
        <w:jc w:val="center"/>
        <w:tblInd w:w="0" w:type="dxa"/>
        <w:tblLayout w:type="fixed"/>
        <w:tblCellMar>
          <w:top w:w="28" w:type="dxa"/>
          <w:left w:w="28" w:type="dxa"/>
          <w:bottom w:w="28" w:type="dxa"/>
          <w:right w:w="28" w:type="dxa"/>
        </w:tblCellMar>
      </w:tblPr>
      <w:tblGrid>
        <w:gridCol w:w="1636"/>
        <w:gridCol w:w="1436"/>
        <w:gridCol w:w="1443"/>
        <w:gridCol w:w="272"/>
        <w:gridCol w:w="1162"/>
        <w:gridCol w:w="140"/>
        <w:gridCol w:w="109"/>
        <w:gridCol w:w="109"/>
        <w:gridCol w:w="109"/>
        <w:gridCol w:w="270"/>
        <w:gridCol w:w="1153"/>
        <w:gridCol w:w="197"/>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2024</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tax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Net operating losses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147,070 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43,707 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Tax credits</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14,047 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accruals and reserves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6,671 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5,727 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 compensation</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9,992 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9,320 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02"/>
              <w:jc w:val="left"/>
              <w:rPr>
                <w:rFonts w:ascii="Arial;sans-serif" w:hAnsi="Arial;sans-serif"/>
                <w:b w:val="false"/>
                <w:color w:val="231F20"/>
                <w:sz w:val="18"/>
              </w:rPr>
            </w:pPr>
            <w:r>
              <w:rPr>
                <w:rFonts w:ascii="Arial;sans-serif" w:hAnsi="Arial;sans-serif"/>
                <w:b w:val="false"/>
                <w:color w:val="231F20"/>
                <w:sz w:val="18"/>
              </w:rPr>
              <w:t>Capitalized U.S. research and development expenses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16,497 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23,088 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 amortization</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53,792 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57,401 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liabilities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16,539 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Property &amp; equipment</w:t>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Other</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Total gross deferred tax assets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263,026 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166,834 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Valuation allowance on deferred tax assets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(6,938)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(7,744)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deferred tax assets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256,088 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159,090 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Deferred tax liabilities: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Purchased intangible amortization</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(461,714)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(488,874)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Operating lease right-of-use assets</w:t>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(12,957)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(16,076)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Total deferred tax liabilities</w:t>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(474,671)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(504,950)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Deferred tax liability, net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(218,583)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(345,860)</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231F20"/>
          <w:sz w:val="20"/>
        </w:rPr>
        <w:t xml:space="preserve">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December 31, 2025, the Company was not able to conclude it is more likely than not certain deferred tax assets will be realized. Therefore, a valuation allowance of </w:t>
      </w:r>
      <w:r>
        <w:rPr>
          <w:rFonts w:ascii="Arial;sans-serif" w:hAnsi="Arial;sans-serif"/>
          <w:b w:val="false"/>
          <w:color w:val="000000"/>
          <w:sz w:val="20"/>
        </w:rPr>
        <w:t xml:space="preserve">$6.9 million </w:t>
      </w:r>
      <w:r>
        <w:rPr>
          <w:rFonts w:ascii="Arial;sans-serif" w:hAnsi="Arial;sans-serif"/>
          <w:b w:val="false"/>
          <w:color w:val="231F20"/>
          <w:sz w:val="20"/>
        </w:rPr>
        <w:t>was recorded against certain federal, state, and foreign deferred tax assets.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As of December 31, 2025, the net operating loss carryforwards for federal and state tax purposes were $567.0 million and $424.2 million. Net operating loss carryforwards for state tax purposes will begin to expire in 2034 unless utilized prior. The federal and state tax credit carryforwards were $13.0 million and $6.8 million. The federal credits will begin to expire in 2044 unless utilized prior. The state credits do not expire and can be carried forward indefinitely. GRAIL’s UK subsidiary had $16.0 million of UK net operating losses that can generally be carried forward indefinitely provided that the UK entity maintains its existing trade or business.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83845"/>
                <wp:effectExtent l="0" t="0" r="0" b="0"/>
                <wp:wrapNone/>
                <wp:docPr id="205" name="Frame19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192</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summarizes the gross amount of uncertain tax positions:</w:t>
      </w:r>
    </w:p>
    <w:tbl>
      <w:tblPr>
        <w:tblW w:w="8017" w:type="dxa"/>
        <w:jc w:val="center"/>
        <w:tblInd w:w="0" w:type="dxa"/>
        <w:tblLayout w:type="fixed"/>
        <w:tblCellMar>
          <w:top w:w="28" w:type="dxa"/>
          <w:left w:w="28" w:type="dxa"/>
          <w:bottom w:w="28" w:type="dxa"/>
          <w:right w:w="28" w:type="dxa"/>
        </w:tblCellMar>
      </w:tblPr>
      <w:tblGrid>
        <w:gridCol w:w="1381"/>
        <w:gridCol w:w="1211"/>
        <w:gridCol w:w="1217"/>
        <w:gridCol w:w="263"/>
        <w:gridCol w:w="770"/>
        <w:gridCol w:w="136"/>
        <w:gridCol w:w="109"/>
        <w:gridCol w:w="109"/>
        <w:gridCol w:w="109"/>
        <w:gridCol w:w="237"/>
        <w:gridCol w:w="811"/>
        <w:gridCol w:w="122"/>
        <w:gridCol w:w="109"/>
        <w:gridCol w:w="109"/>
        <w:gridCol w:w="109"/>
        <w:gridCol w:w="236"/>
        <w:gridCol w:w="807"/>
        <w:gridCol w:w="172"/>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Balance at beginning of year</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59,295 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51,843 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Decreases related to the Spin-Off</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(59,295)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Decreases related to prior year tax positions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Increases related to current year tax positions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7,452 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Balance at end of year</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7,636 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3,859 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59,295 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Arial;sans-serif" w:hAnsi="Arial;sans-serif"/>
          <w:b w:val="false"/>
          <w:color w:val="231F20"/>
          <w:sz w:val="20"/>
        </w:rPr>
        <w:t xml:space="preserve">Included in the balance of uncertain tax positions as of December 31, 2025, </w:t>
      </w:r>
      <w:r>
        <w:rPr>
          <w:rFonts w:ascii="Arial;sans-serif" w:hAnsi="Arial;sans-serif"/>
          <w:b w:val="false"/>
          <w:color w:val="000000"/>
          <w:sz w:val="20"/>
        </w:rPr>
        <w:t>December 31, 2024</w:t>
      </w:r>
      <w:r>
        <w:rPr>
          <w:rFonts w:ascii="Arial;sans-serif" w:hAnsi="Arial;sans-serif"/>
          <w:b w:val="false"/>
          <w:color w:val="231F20"/>
          <w:sz w:val="20"/>
        </w:rPr>
        <w:t xml:space="preserve">, and </w:t>
      </w:r>
      <w:r>
        <w:rPr>
          <w:rFonts w:ascii="Arial;sans-serif" w:hAnsi="Arial;sans-serif"/>
          <w:b w:val="false"/>
          <w:color w:val="000000"/>
          <w:sz w:val="20"/>
        </w:rPr>
        <w:t>December 31, 2023</w:t>
      </w:r>
      <w:r>
        <w:rPr>
          <w:color w:val="231F20"/>
        </w:rPr>
        <w:t xml:space="preserve"> </w:t>
      </w:r>
      <w:r>
        <w:rPr>
          <w:rFonts w:ascii="Arial;sans-serif" w:hAnsi="Arial;sans-serif"/>
          <w:b w:val="false"/>
          <w:color w:val="231F20"/>
          <w:sz w:val="20"/>
        </w:rPr>
        <w:t>were $7.1 million, $3.6 million, and $54.4 million,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The following table presents the disaggregation of income taxes paid by jurisdiction:</w:t>
      </w:r>
    </w:p>
    <w:tbl>
      <w:tblPr>
        <w:tblW w:w="3089" w:type="dxa"/>
        <w:jc w:val="left"/>
        <w:tblInd w:w="0" w:type="dxa"/>
        <w:tblLayout w:type="fixed"/>
        <w:tblCellMar>
          <w:top w:w="28" w:type="dxa"/>
          <w:left w:w="28" w:type="dxa"/>
          <w:bottom w:w="28" w:type="dxa"/>
          <w:right w:w="28" w:type="dxa"/>
        </w:tblCellMar>
      </w:tblPr>
      <w:tblGrid>
        <w:gridCol w:w="533"/>
        <w:gridCol w:w="467"/>
        <w:gridCol w:w="470"/>
        <w:gridCol w:w="348"/>
        <w:gridCol w:w="1017"/>
        <w:gridCol w:w="2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Federal</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New York</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492 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Massachusetts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176 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South Carolina</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New York City</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North Carolina</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Tennessee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000000"/>
                <w:sz w:val="18"/>
              </w:rPr>
            </w:pPr>
            <w:r>
              <w:rPr>
                <w:rFonts w:ascii="Arial;sans-serif" w:hAnsi="Arial;sans-serif"/>
                <w:b w:val="false"/>
                <w:color w:val="000000"/>
                <w:sz w:val="18"/>
              </w:rPr>
              <w:t>All Other States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color w:val="231F20"/>
                <w:sz w:val="18"/>
              </w:rPr>
            </w:pPr>
            <w:r>
              <w:rPr>
                <w:rFonts w:ascii="Arial;sans-serif" w:hAnsi="Arial;sans-serif"/>
                <w:b/>
                <w:color w:val="231F20"/>
                <w:sz w:val="18"/>
              </w:rPr>
              <w:t>Total taxes paid</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1,131 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 xml:space="preserve">Tax years 2019 to 2025 remain subject to future examination by the major tax jurisdictions in which the Company is subject to tax.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83845"/>
                <wp:effectExtent l="0" t="0" r="0" b="0"/>
                <wp:wrapNone/>
                <wp:docPr id="206" name="Frame19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193</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15. SEGMENT INFORMATION</w:t>
      </w:r>
    </w:p>
    <w:p>
      <w:pPr>
        <w:pStyle w:val="TextBody"/>
        <w:bidi w:val="0"/>
        <w:spacing w:lineRule="auto" w:line="288" w:before="240" w:after="283"/>
        <w:ind w:left="0" w:right="0" w:firstLine="450"/>
        <w:jc w:val="left"/>
        <w:rPr/>
      </w:pPr>
      <w:r>
        <w:rPr>
          <w:rFonts w:ascii="Arial;sans-serif" w:hAnsi="Arial;sans-serif"/>
          <w:b w:val="false"/>
          <w:color w:val="231F20"/>
          <w:sz w:val="20"/>
        </w:rPr>
        <w:t>The Company operates</w:t>
      </w:r>
      <w:r>
        <w:rPr>
          <w:color w:val="231F20"/>
        </w:rPr>
        <w:t xml:space="preserve"> </w:t>
      </w:r>
      <w:r>
        <w:rPr>
          <w:rFonts w:ascii="Arial;sans-serif" w:hAnsi="Arial;sans-serif"/>
          <w:b w:val="false"/>
          <w:color w:val="231F20"/>
          <w:sz w:val="20"/>
        </w:rPr>
        <w:t>and manages</w:t>
      </w:r>
      <w:r>
        <w:rPr>
          <w:color w:val="231F20"/>
        </w:rPr>
        <w:t xml:space="preserve"> </w:t>
      </w:r>
      <w:r>
        <w:rPr>
          <w:rFonts w:ascii="Arial;sans-serif" w:hAnsi="Arial;sans-serif"/>
          <w:b w:val="false"/>
          <w:color w:val="231F20"/>
          <w:sz w:val="20"/>
        </w:rPr>
        <w:t>its business</w:t>
      </w:r>
      <w:r>
        <w:rPr>
          <w:color w:val="231F20"/>
        </w:rPr>
        <w:t xml:space="preserve"> </w:t>
      </w:r>
      <w:r>
        <w:rPr>
          <w:rFonts w:ascii="Arial;sans-serif" w:hAnsi="Arial;sans-serif"/>
          <w:b w:val="false"/>
          <w:color w:val="231F20"/>
          <w:sz w:val="20"/>
        </w:rPr>
        <w:t>as one reportable</w:t>
      </w:r>
      <w:r>
        <w:rPr>
          <w:color w:val="231F20"/>
        </w:rPr>
        <w:t xml:space="preserve"> </w:t>
      </w:r>
      <w:r>
        <w:rPr>
          <w:rFonts w:ascii="Arial;sans-serif" w:hAnsi="Arial;sans-serif"/>
          <w:b w:val="false"/>
          <w:color w:val="231F20"/>
          <w:sz w:val="20"/>
        </w:rPr>
        <w:t>operating</w:t>
      </w:r>
      <w:r>
        <w:rPr>
          <w:color w:val="231F20"/>
        </w:rPr>
        <w:t xml:space="preserve"> </w:t>
      </w:r>
      <w:r>
        <w:rPr>
          <w:rFonts w:ascii="Arial;sans-serif" w:hAnsi="Arial;sans-serif"/>
          <w:b w:val="false"/>
          <w:color w:val="231F20"/>
          <w:sz w:val="20"/>
        </w:rPr>
        <w:t>segment.</w:t>
      </w:r>
      <w:r>
        <w:rPr>
          <w:color w:val="231F20"/>
        </w:rPr>
        <w:t xml:space="preserve"> </w:t>
      </w:r>
      <w:r>
        <w:rPr>
          <w:rFonts w:ascii="Arial;sans-serif" w:hAnsi="Arial;sans-serif"/>
          <w:b w:val="false"/>
          <w:color w:val="231F20"/>
          <w:sz w:val="20"/>
        </w:rPr>
        <w:t>The Company's chief operating decision maker (“CODM”) is the chief executive officer. The CODM</w:t>
      </w:r>
      <w:r>
        <w:rPr>
          <w:color w:val="231F20"/>
        </w:rPr>
        <w:t xml:space="preserve"> </w:t>
      </w:r>
      <w:r>
        <w:rPr>
          <w:rFonts w:ascii="Arial;sans-serif" w:hAnsi="Arial;sans-serif"/>
          <w:b w:val="false"/>
          <w:color w:val="231F20"/>
          <w:sz w:val="20"/>
        </w:rPr>
        <w:t>reviews</w:t>
      </w:r>
      <w:r>
        <w:rPr>
          <w:color w:val="231F20"/>
        </w:rPr>
        <w:t xml:space="preserve"> </w:t>
      </w:r>
      <w:r>
        <w:rPr>
          <w:rFonts w:ascii="Arial;sans-serif" w:hAnsi="Arial;sans-serif"/>
          <w:b w:val="false"/>
          <w:color w:val="231F20"/>
          <w:sz w:val="20"/>
        </w:rPr>
        <w:t>financial information</w:t>
      </w:r>
      <w:r>
        <w:rPr>
          <w:color w:val="231F20"/>
        </w:rPr>
        <w:t xml:space="preserve"> </w:t>
      </w:r>
      <w:r>
        <w:rPr>
          <w:rFonts w:ascii="Arial;sans-serif" w:hAnsi="Arial;sans-serif"/>
          <w:b w:val="false"/>
          <w:color w:val="231F20"/>
          <w:sz w:val="20"/>
        </w:rPr>
        <w:t>on</w:t>
      </w:r>
      <w:r>
        <w:rPr>
          <w:color w:val="231F20"/>
        </w:rPr>
        <w:t xml:space="preserve"> </w:t>
      </w:r>
      <w:r>
        <w:rPr>
          <w:rFonts w:ascii="Arial;sans-serif" w:hAnsi="Arial;sans-serif"/>
          <w:b w:val="false"/>
          <w:color w:val="231F20"/>
          <w:sz w:val="20"/>
        </w:rPr>
        <w:t>an</w:t>
      </w:r>
      <w:r>
        <w:rPr>
          <w:color w:val="231F20"/>
        </w:rPr>
        <w:t xml:space="preserve"> </w:t>
      </w:r>
      <w:r>
        <w:rPr>
          <w:rFonts w:ascii="Arial;sans-serif" w:hAnsi="Arial;sans-serif"/>
          <w:b w:val="false"/>
          <w:color w:val="231F20"/>
          <w:sz w:val="20"/>
        </w:rPr>
        <w:t>aggregate</w:t>
      </w:r>
      <w:r>
        <w:rPr>
          <w:color w:val="231F20"/>
        </w:rPr>
        <w:t xml:space="preserve"> </w:t>
      </w:r>
      <w:r>
        <w:rPr>
          <w:rFonts w:ascii="Arial;sans-serif" w:hAnsi="Arial;sans-serif"/>
          <w:b w:val="false"/>
          <w:color w:val="231F20"/>
          <w:sz w:val="20"/>
        </w:rPr>
        <w:t>basis</w:t>
      </w:r>
      <w:r>
        <w:rPr>
          <w:color w:val="231F20"/>
        </w:rPr>
        <w:t xml:space="preserve"> </w:t>
      </w:r>
      <w:r>
        <w:rPr>
          <w:rFonts w:ascii="Arial;sans-serif" w:hAnsi="Arial;sans-serif"/>
          <w:b w:val="false"/>
          <w:color w:val="231F20"/>
          <w:sz w:val="20"/>
        </w:rPr>
        <w:t>for</w:t>
      </w:r>
      <w:r>
        <w:rPr>
          <w:color w:val="231F20"/>
        </w:rPr>
        <w:t xml:space="preserve"> </w:t>
      </w:r>
      <w:r>
        <w:rPr>
          <w:rFonts w:ascii="Arial;sans-serif" w:hAnsi="Arial;sans-serif"/>
          <w:b w:val="false"/>
          <w:color w:val="231F20"/>
          <w:sz w:val="20"/>
        </w:rPr>
        <w:t>the</w:t>
      </w:r>
      <w:r>
        <w:rPr>
          <w:color w:val="231F20"/>
        </w:rPr>
        <w:t xml:space="preserve"> </w:t>
      </w:r>
      <w:r>
        <w:rPr>
          <w:rFonts w:ascii="Arial;sans-serif" w:hAnsi="Arial;sans-serif"/>
          <w:b w:val="false"/>
          <w:color w:val="231F20"/>
          <w:sz w:val="20"/>
        </w:rPr>
        <w:t>purposes</w:t>
      </w:r>
      <w:r>
        <w:rPr>
          <w:color w:val="231F20"/>
        </w:rPr>
        <w:t xml:space="preserve"> </w:t>
      </w:r>
      <w:r>
        <w:rPr>
          <w:rFonts w:ascii="Arial;sans-serif" w:hAnsi="Arial;sans-serif"/>
          <w:b w:val="false"/>
          <w:color w:val="231F20"/>
          <w:sz w:val="20"/>
        </w:rPr>
        <w:t>of</w:t>
      </w:r>
      <w:r>
        <w:rPr>
          <w:color w:val="231F20"/>
        </w:rPr>
        <w:t xml:space="preserve"> </w:t>
      </w:r>
      <w:r>
        <w:rPr>
          <w:rFonts w:ascii="Arial;sans-serif" w:hAnsi="Arial;sans-serif"/>
          <w:b w:val="false"/>
          <w:color w:val="231F20"/>
          <w:sz w:val="20"/>
        </w:rPr>
        <w:t>evaluating</w:t>
      </w:r>
      <w:r>
        <w:rPr>
          <w:color w:val="231F20"/>
        </w:rPr>
        <w:t xml:space="preserve"> </w:t>
      </w:r>
      <w:r>
        <w:rPr>
          <w:rFonts w:ascii="Arial;sans-serif" w:hAnsi="Arial;sans-serif"/>
          <w:b w:val="false"/>
          <w:color w:val="231F20"/>
          <w:sz w:val="20"/>
        </w:rPr>
        <w:t>financial</w:t>
      </w:r>
      <w:r>
        <w:rPr>
          <w:color w:val="231F20"/>
        </w:rPr>
        <w:t xml:space="preserve"> </w:t>
      </w:r>
      <w:r>
        <w:rPr>
          <w:rFonts w:ascii="Arial;sans-serif" w:hAnsi="Arial;sans-serif"/>
          <w:b w:val="false"/>
          <w:color w:val="231F20"/>
          <w:sz w:val="20"/>
        </w:rPr>
        <w:t>performance</w:t>
      </w:r>
      <w:r>
        <w:rPr>
          <w:color w:val="231F20"/>
        </w:rPr>
        <w:t xml:space="preserve"> </w:t>
      </w:r>
      <w:r>
        <w:rPr>
          <w:rFonts w:ascii="Arial;sans-serif" w:hAnsi="Arial;sans-serif"/>
          <w:b w:val="false"/>
          <w:color w:val="231F20"/>
          <w:sz w:val="20"/>
        </w:rPr>
        <w:t>and</w:t>
      </w:r>
      <w:r>
        <w:rPr>
          <w:color w:val="231F20"/>
        </w:rPr>
        <w:t xml:space="preserve"> </w:t>
      </w:r>
      <w:r>
        <w:rPr>
          <w:rFonts w:ascii="Arial;sans-serif" w:hAnsi="Arial;sans-serif"/>
          <w:b w:val="false"/>
          <w:color w:val="231F20"/>
          <w:sz w:val="20"/>
        </w:rPr>
        <w:t>allocating</w:t>
      </w:r>
      <w:r>
        <w:rPr>
          <w:color w:val="231F20"/>
        </w:rPr>
        <w:t xml:space="preserve"> </w:t>
      </w:r>
      <w:r>
        <w:rPr>
          <w:rFonts w:ascii="Arial;sans-serif" w:hAnsi="Arial;sans-serif"/>
          <w:b w:val="false"/>
          <w:color w:val="231F20"/>
          <w:sz w:val="20"/>
        </w:rPr>
        <w:t>resources based on net income (loss), adjusted gross margin and adjusted EBITDA.</w:t>
      </w:r>
      <w:r>
        <w:rPr>
          <w:color w:val="231F20"/>
        </w:rPr>
        <w:t xml:space="preserve"> </w:t>
      </w:r>
      <w:r>
        <w:rPr>
          <w:rFonts w:ascii="Arial;sans-serif" w:hAnsi="Arial;sans-serif"/>
          <w:b w:val="false"/>
          <w:color w:val="231F20"/>
          <w:sz w:val="20"/>
        </w:rPr>
        <w:t>Net income (loss) is the measure of segment profit most consistent with U.S. GAAP that is regularly reviewed by the CODM to allocate resources and assess performance. The CODM does not evaluate operating segment performance using asset information.</w:t>
      </w:r>
    </w:p>
    <w:p>
      <w:pPr>
        <w:pStyle w:val="TextBody"/>
        <w:bidi w:val="0"/>
        <w:spacing w:lineRule="auto" w:line="288" w:before="240" w:after="283"/>
        <w:ind w:left="0" w:right="0" w:firstLine="450"/>
        <w:jc w:val="left"/>
        <w:rPr/>
      </w:pPr>
      <w:r>
        <w:rPr>
          <w:rFonts w:ascii="Arial;sans-serif" w:hAnsi="Arial;sans-serif"/>
          <w:b w:val="false"/>
          <w:color w:val="231F20"/>
          <w:sz w:val="20"/>
        </w:rPr>
        <w:t xml:space="preserve">The following table is representative of the significant expense categories regularly provided to the CODM when managing the Company’s single reporting segment. A reconciliation to the consolidated net loss for the years ended </w:t>
      </w:r>
      <w:r>
        <w:rPr>
          <w:rFonts w:ascii="Arial;sans-serif" w:hAnsi="Arial;sans-serif"/>
          <w:b w:val="false"/>
          <w:color w:val="000000"/>
          <w:sz w:val="20"/>
        </w:rPr>
        <w:t>December 31, 2025</w:t>
      </w:r>
      <w:r>
        <w:rPr>
          <w:rFonts w:ascii="Arial;sans-serif" w:hAnsi="Arial;sans-serif"/>
          <w:b w:val="false"/>
          <w:color w:val="231F20"/>
          <w:sz w:val="20"/>
        </w:rPr>
        <w:t xml:space="preserve">, </w:t>
      </w:r>
      <w:r>
        <w:rPr>
          <w:rFonts w:ascii="Arial;sans-serif" w:hAnsi="Arial;sans-serif"/>
          <w:b w:val="false"/>
          <w:color w:val="000000"/>
          <w:sz w:val="20"/>
        </w:rPr>
        <w:t>December 31, 2024</w:t>
      </w:r>
      <w:r>
        <w:rPr>
          <w:color w:val="231F20"/>
        </w:rPr>
        <w:t xml:space="preserve"> </w:t>
      </w:r>
      <w:r>
        <w:rPr>
          <w:rFonts w:ascii="Arial;sans-serif" w:hAnsi="Arial;sans-serif"/>
          <w:b w:val="false"/>
          <w:color w:val="231F20"/>
          <w:sz w:val="20"/>
        </w:rPr>
        <w:t xml:space="preserve">and </w:t>
      </w:r>
      <w:r>
        <w:rPr>
          <w:rFonts w:ascii="Arial;sans-serif" w:hAnsi="Arial;sans-serif"/>
          <w:b w:val="false"/>
          <w:color w:val="000000"/>
          <w:sz w:val="20"/>
        </w:rPr>
        <w:t>December 31, 2023</w:t>
      </w:r>
      <w:r>
        <w:rPr>
          <w:color w:val="231F20"/>
        </w:rPr>
        <w:t xml:space="preserve"> </w:t>
      </w:r>
      <w:r>
        <w:rPr>
          <w:rFonts w:ascii="Arial;sans-serif" w:hAnsi="Arial;sans-serif"/>
          <w:b w:val="false"/>
          <w:color w:val="231F20"/>
          <w:sz w:val="20"/>
        </w:rPr>
        <w:t>is included in the table below:</w:t>
      </w:r>
    </w:p>
    <w:tbl>
      <w:tblPr>
        <w:tblW w:w="10205" w:type="dxa"/>
        <w:jc w:val="left"/>
        <w:tblInd w:w="0" w:type="dxa"/>
        <w:tblLayout w:type="fixed"/>
        <w:tblCellMar>
          <w:top w:w="28" w:type="dxa"/>
          <w:left w:w="28" w:type="dxa"/>
          <w:bottom w:w="28" w:type="dxa"/>
          <w:right w:w="28" w:type="dxa"/>
        </w:tblCellMar>
      </w:tblPr>
      <w:tblGrid>
        <w:gridCol w:w="2055"/>
        <w:gridCol w:w="1757"/>
        <w:gridCol w:w="1758"/>
        <w:gridCol w:w="211"/>
        <w:gridCol w:w="891"/>
        <w:gridCol w:w="109"/>
        <w:gridCol w:w="109"/>
        <w:gridCol w:w="109"/>
        <w:gridCol w:w="109"/>
        <w:gridCol w:w="211"/>
        <w:gridCol w:w="1041"/>
        <w:gridCol w:w="109"/>
        <w:gridCol w:w="109"/>
        <w:gridCol w:w="109"/>
        <w:gridCol w:w="109"/>
        <w:gridCol w:w="211"/>
        <w:gridCol w:w="1041"/>
        <w:gridCol w:w="157"/>
      </w:tblGrid>
      <w:tr>
        <w:trPr/>
        <w:tc>
          <w:tcPr>
            <w:tcW w:w="205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Year Ended</w:t>
            </w:r>
          </w:p>
        </w:tc>
      </w:tr>
      <w:tr>
        <w:trPr/>
        <w:tc>
          <w:tcPr>
            <w:tcW w:w="5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2023</w:t>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Revenue:</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Screening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138,601 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108,627 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74,999 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Development services revenue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18,106 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Total revenue</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125,595 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93,105 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Costs and operating expenses: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Cost of screening revenue (exclusive of amortization of intangible assets)</w:t>
            </w:r>
            <w:r>
              <w:rPr>
                <w:rFonts w:ascii="Arial;sans-serif" w:hAnsi="Arial;sans-serif"/>
                <w:b w:val="false"/>
                <w:color w:val="231F20"/>
                <w:sz w:val="12"/>
              </w:rPr>
              <w:t>(1)(2)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47,966 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Cost of development services revenue</w:t>
            </w:r>
            <w:r>
              <w:rPr>
                <w:rFonts w:ascii="Arial;sans-serif" w:hAnsi="Arial;sans-serif"/>
                <w:b w:val="false"/>
                <w:color w:val="231F20"/>
                <w:sz w:val="12"/>
              </w:rPr>
              <w:t>(1)(2)</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6,861 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 xml:space="preserve">Compensation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311,375 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Depreciation and intangible assets amortization expense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149,794 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153,228 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148,920 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Stock-based compensation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95,265 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Professional services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48,994 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Clinical studies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54,590 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Goodwill and intangible assets impairment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1,420,936 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718,466 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Cloud computing and information technology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31,868 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Facilities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21,666 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25,983 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30,276 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 xml:space="preserve">Laboratory supplies and research collaborations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41,863 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231F20"/>
                <w:sz w:val="18"/>
              </w:rPr>
              <w:t>Other segment expenses</w:t>
            </w:r>
            <w:r>
              <w:rPr>
                <w:rFonts w:ascii="Arial;sans-serif" w:hAnsi="Arial;sans-serif"/>
                <w:b w:val="false"/>
                <w:color w:val="231F20"/>
                <w:sz w:val="12"/>
              </w:rPr>
              <w:t>(3)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72,043 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Total costs and operating expenses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709,335 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2,314,753 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1,608,487 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Loss from Operations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(562,163)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(2,189,158)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(1,515,382)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Other income (expense):</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Interest income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7,954 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Other income (expense),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557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31"/>
              <w:jc w:val="left"/>
              <w:rPr>
                <w:rFonts w:ascii="Arial;sans-serif" w:hAnsi="Arial;sans-serif"/>
                <w:b w:val="false"/>
                <w:color w:val="231F20"/>
                <w:sz w:val="18"/>
              </w:rPr>
            </w:pPr>
            <w:r>
              <w:rPr>
                <w:rFonts w:ascii="Arial;sans-serif" w:hAnsi="Arial;sans-serif"/>
                <w:b w:val="false"/>
                <w:color w:val="231F20"/>
                <w:sz w:val="18"/>
              </w:rPr>
              <w:t>Benefit from income taxes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126,153 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41,951 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(408,351)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(2,027,005)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40" w:after="283"/>
              <w:jc w:val="right"/>
              <w:rPr>
                <w:rFonts w:ascii="Arial;sans-serif" w:hAnsi="Arial;sans-serif"/>
                <w:b w:val="false"/>
                <w:color w:val="231F20"/>
                <w:sz w:val="18"/>
              </w:rPr>
            </w:pPr>
            <w:r>
              <w:rPr>
                <w:rFonts w:ascii="Arial;sans-serif" w:hAnsi="Arial;sans-serif"/>
                <w:b w:val="false"/>
                <w:color w:val="231F20"/>
                <w:sz w:val="18"/>
              </w:rPr>
              <w:t>(1,465,685)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Cost of screening revenue (exclusive of amortization of intangible assets) and cost of development services revenue include stock-based compensation expense. See </w:t>
      </w:r>
      <w:r>
        <w:rPr>
          <w:rFonts w:ascii="Arial;sans-serif" w:hAnsi="Arial;sans-serif"/>
          <w:b w:val="false"/>
          <w:i/>
          <w:color w:val="000000"/>
          <w:sz w:val="16"/>
        </w:rPr>
        <w:t>Note 8 — Stock-Based Compensation</w:t>
      </w:r>
      <w:r>
        <w:rPr>
          <w:color w:val="000000"/>
        </w:rPr>
        <w:t xml:space="preserve"> </w:t>
      </w:r>
      <w:r>
        <w:rPr>
          <w:rFonts w:ascii="Arial;sans-serif" w:hAnsi="Arial;sans-serif"/>
          <w:b w:val="false"/>
          <w:color w:val="000000"/>
          <w:sz w:val="16"/>
        </w:rPr>
        <w:t xml:space="preserve">for further details. </w:t>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Cost of screening revenue (exclusive of amortization of intangible assets) and cost of development services revenue include </w:t>
      </w:r>
      <w:r>
        <w:rPr>
          <w:rFonts w:ascii="Arial;sans-serif" w:hAnsi="Arial;sans-serif"/>
          <w:b w:val="false"/>
          <w:color w:val="231F20"/>
          <w:sz w:val="16"/>
        </w:rPr>
        <w:t>$6.6 million, $4.8 million</w:t>
      </w:r>
      <w:r>
        <w:rPr>
          <w:color w:val="000000"/>
        </w:rPr>
        <w:t xml:space="preserve"> </w:t>
      </w:r>
      <w:r>
        <w:rPr>
          <w:rFonts w:ascii="Arial;sans-serif" w:hAnsi="Arial;sans-serif"/>
          <w:b w:val="false"/>
          <w:color w:val="000000"/>
          <w:sz w:val="16"/>
        </w:rPr>
        <w:t xml:space="preserve">and </w:t>
      </w:r>
      <w:r>
        <w:rPr>
          <w:rFonts w:ascii="Arial;sans-serif" w:hAnsi="Arial;sans-serif"/>
          <w:b w:val="false"/>
          <w:color w:val="231F20"/>
          <w:sz w:val="16"/>
        </w:rPr>
        <w:t>$9.8 million</w:t>
      </w:r>
      <w:r>
        <w:rPr>
          <w:color w:val="000000"/>
        </w:rPr>
        <w:t xml:space="preserve"> </w:t>
      </w:r>
      <w:r>
        <w:rPr>
          <w:rFonts w:ascii="Arial;sans-serif" w:hAnsi="Arial;sans-serif"/>
          <w:b w:val="false"/>
          <w:color w:val="000000"/>
          <w:sz w:val="16"/>
        </w:rPr>
        <w:t xml:space="preserve">of depreciation expense for the year ended December 31, 2025, December 31, 2024 and December 31, 2023. </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Other segment expenses include costs related to contractors and temporary labor, marketing expenses, and legal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83845"/>
                <wp:effectExtent l="0" t="0" r="0" b="0"/>
                <wp:wrapNone/>
                <wp:docPr id="207" name="Frame199"/>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194</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16.</w:t>
      </w:r>
      <w:r>
        <w:rPr>
          <w:color w:val="231F20"/>
        </w:rPr>
        <w:t xml:space="preserve"> </w:t>
      </w:r>
      <w:r>
        <w:rPr>
          <w:rFonts w:ascii="Arial;sans-serif" w:hAnsi="Arial;sans-serif"/>
          <w:b/>
          <w:color w:val="000000"/>
          <w:sz w:val="20"/>
        </w:rPr>
        <w:t>RELATED PARTY TRANSACTIONS</w:t>
      </w:r>
    </w:p>
    <w:p>
      <w:pPr>
        <w:pStyle w:val="TextBody"/>
        <w:bidi w:val="0"/>
        <w:spacing w:lineRule="auto" w:line="288" w:before="120" w:after="283"/>
        <w:jc w:val="left"/>
        <w:rPr>
          <w:rFonts w:ascii="Arial;sans-serif" w:hAnsi="Arial;sans-serif"/>
          <w:b/>
          <w:i/>
          <w:color w:val="231F20"/>
          <w:sz w:val="20"/>
        </w:rPr>
      </w:pPr>
      <w:r>
        <w:rPr>
          <w:rFonts w:ascii="Arial;sans-serif" w:hAnsi="Arial;sans-serif"/>
          <w:b/>
          <w:i/>
          <w:color w:val="231F20"/>
          <w:sz w:val="20"/>
        </w:rPr>
        <w:t>Illumina Purchases and Sales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Company was a subsidiary of Illumina, Inc. between August 19, 2021 to June 23, 2024. Subsequent to the Spin-Off, Illumina retained 4,502,126 shares which represented a 14.5% stake in the Company as of the Spin-Off. During the fourth quarter of 2025, Illumina sold 2,000,000 shares of the Company’s common stock, reducing its ownership to 2,502,126 shares, which represented approximately 6.0% of the Company’s outstanding common stock as of December 31, 2025. On February 17, 2026, Illumina filed a Schedule 13G reporting beneficial ownership of 1,302,126 shares of our common stock.</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As a result of the reduction in ownership, Illumina no longer meets the definition of a related party. Accordingly, following Illumina’s disposition on November 17, 2025, transactions and balances with Illumina are no longer considered related-party transactions.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Illumina is both a customer of the Company and a major supplier of the Company’s reagents and capital equipment. Goods and services transactions with Illumina are invoiced and paid when due.</w:t>
      </w:r>
    </w:p>
    <w:p>
      <w:pPr>
        <w:pStyle w:val="TextBody"/>
        <w:bidi w:val="0"/>
        <w:spacing w:lineRule="auto" w:line="288" w:before="240" w:after="283"/>
        <w:ind w:left="0" w:right="0" w:firstLine="450"/>
        <w:jc w:val="left"/>
        <w:rPr>
          <w:rFonts w:ascii="Arial;sans-serif" w:hAnsi="Arial;sans-serif"/>
          <w:b w:val="false"/>
          <w:color w:val="231F20"/>
          <w:sz w:val="20"/>
        </w:rPr>
      </w:pPr>
      <w:r>
        <w:rPr>
          <w:rFonts w:ascii="Arial;sans-serif" w:hAnsi="Arial;sans-serif"/>
          <w:b w:val="false"/>
          <w:color w:val="231F20"/>
          <w:sz w:val="20"/>
        </w:rPr>
        <w:t>Goods and services transactions with Illumina, have been reflected in the consolidated financial statements for the periods during which Illumina qualified as a related party of the Company, as follows:</w:t>
      </w:r>
    </w:p>
    <w:tbl>
      <w:tblPr>
        <w:tblW w:w="5235" w:type="dxa"/>
        <w:jc w:val="center"/>
        <w:tblInd w:w="0" w:type="dxa"/>
        <w:tblLayout w:type="fixed"/>
        <w:tblCellMar>
          <w:top w:w="28" w:type="dxa"/>
          <w:left w:w="28" w:type="dxa"/>
          <w:bottom w:w="28" w:type="dxa"/>
          <w:right w:w="28" w:type="dxa"/>
        </w:tblCellMar>
      </w:tblPr>
      <w:tblGrid>
        <w:gridCol w:w="1309"/>
        <w:gridCol w:w="1150"/>
        <w:gridCol w:w="1156"/>
        <w:gridCol w:w="469"/>
        <w:gridCol w:w="805"/>
        <w:gridCol w:w="346"/>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As of</w:t>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31F20"/>
                <w:sz w:val="16"/>
              </w:rPr>
            </w:pPr>
            <w:r>
              <w:rPr>
                <w:rFonts w:ascii="Arial;sans-serif" w:hAnsi="Arial;sans-serif"/>
                <w:b/>
                <w:color w:val="231F20"/>
                <w:sz w:val="16"/>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ind w:left="0" w:right="0" w:hanging="180"/>
              <w:jc w:val="left"/>
              <w:rPr>
                <w:rFonts w:ascii="Arial;sans-serif" w:hAnsi="Arial;sans-serif"/>
                <w:b w:val="false"/>
                <w:color w:val="231F20"/>
                <w:sz w:val="18"/>
              </w:rPr>
            </w:pPr>
            <w:r>
              <w:rPr>
                <w:rFonts w:ascii="Arial;sans-serif" w:hAnsi="Arial;sans-serif"/>
                <w:b w:val="false"/>
                <w:color w:val="231F20"/>
                <w:sz w:val="18"/>
              </w:rPr>
              <w:t>Accounts receivable</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231F20"/>
                <w:sz w:val="18"/>
              </w:rPr>
            </w:pPr>
            <w:r>
              <w:rPr>
                <w:rFonts w:ascii="Arial;sans-serif" w:hAnsi="Arial;sans-serif"/>
                <w:b w:val="false"/>
                <w:color w:val="231F20"/>
                <w:sz w:val="18"/>
              </w:rPr>
              <w:t>Supplies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3,130 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0"/>
              <w:jc w:val="left"/>
              <w:rPr>
                <w:rFonts w:ascii="Arial;sans-serif" w:hAnsi="Arial;sans-serif"/>
                <w:b w:val="false"/>
                <w:color w:val="231F20"/>
                <w:sz w:val="18"/>
              </w:rPr>
            </w:pPr>
            <w:r>
              <w:rPr>
                <w:rFonts w:ascii="Arial;sans-serif" w:hAnsi="Arial;sans-serif"/>
                <w:b w:val="false"/>
                <w:color w:val="231F20"/>
                <w:sz w:val="18"/>
              </w:rPr>
              <w:t>Prepaid expenses and other current assets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77 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240" w:after="30"/>
              <w:ind w:left="0" w:right="0" w:hanging="180"/>
              <w:jc w:val="left"/>
              <w:rPr>
                <w:rFonts w:ascii="Arial;sans-serif" w:hAnsi="Arial;sans-serif"/>
                <w:b w:val="false"/>
                <w:color w:val="231F20"/>
                <w:sz w:val="18"/>
              </w:rPr>
            </w:pPr>
            <w:r>
              <w:rPr>
                <w:rFonts w:ascii="Arial;sans-serif" w:hAnsi="Arial;sans-serif"/>
                <w:b w:val="false"/>
                <w:color w:val="231F20"/>
                <w:sz w:val="18"/>
              </w:rPr>
              <w:t>Property and equipment, net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2,227 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Arial;sans-serif" w:hAnsi="Arial;sans-serif"/>
                <w:b w:val="false"/>
                <w:color w:val="231F20"/>
                <w:sz w:val="18"/>
              </w:rPr>
            </w:pPr>
            <w:r>
              <w:rPr>
                <w:rFonts w:ascii="Arial;sans-serif" w:hAnsi="Arial;sans-serif"/>
                <w:b w:val="false"/>
                <w:color w:val="231F20"/>
                <w:sz w:val="18"/>
              </w:rPr>
              <w:t>Accrued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81"/>
        <w:gridCol w:w="1733"/>
        <w:gridCol w:w="1742"/>
        <w:gridCol w:w="460"/>
        <w:gridCol w:w="1020"/>
        <w:gridCol w:w="240"/>
        <w:gridCol w:w="109"/>
        <w:gridCol w:w="109"/>
        <w:gridCol w:w="109"/>
        <w:gridCol w:w="311"/>
        <w:gridCol w:w="690"/>
        <w:gridCol w:w="162"/>
        <w:gridCol w:w="109"/>
        <w:gridCol w:w="109"/>
        <w:gridCol w:w="109"/>
        <w:gridCol w:w="306"/>
        <w:gridCol w:w="676"/>
        <w:gridCol w:w="230"/>
      </w:tblGrid>
      <w:tr>
        <w:trPr/>
        <w:tc>
          <w:tcPr>
            <w:tcW w:w="198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Year Ended</w:t>
            </w:r>
          </w:p>
        </w:tc>
      </w:tr>
      <w:tr>
        <w:trPr/>
        <w:tc>
          <w:tcPr>
            <w:tcW w:w="5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6"/>
              </w:rPr>
            </w:pPr>
            <w:r>
              <w:rPr>
                <w:rFonts w:ascii="Arial;sans-serif" w:hAnsi="Arial;sans-serif"/>
                <w:b w:val="false"/>
                <w:color w:val="231F20"/>
                <w:sz w:val="16"/>
              </w:rPr>
              <w:t>(in thousands)</w:t>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color w:val="231F20"/>
                <w:sz w:val="16"/>
              </w:rPr>
              <w:t xml:space="preserve">December 31, 2025 </w:t>
            </w:r>
            <w:r>
              <w:rPr>
                <w:rFonts w:ascii="Arial;sans-serif" w:hAnsi="Arial;sans-serif"/>
                <w:b/>
                <w:color w:val="231F2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231F20"/>
                <w:sz w:val="16"/>
              </w:rPr>
            </w:pPr>
            <w:r>
              <w:rPr>
                <w:rFonts w:ascii="Arial;sans-serif" w:hAnsi="Arial;sans-serif"/>
                <w:b/>
                <w:color w:val="231F2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ind w:left="0" w:right="0" w:hanging="187"/>
              <w:jc w:val="center"/>
              <w:rPr>
                <w:rFonts w:ascii="Arial;sans-serif" w:hAnsi="Arial;sans-serif"/>
                <w:b/>
                <w:color w:val="231F20"/>
                <w:sz w:val="16"/>
              </w:rPr>
            </w:pPr>
            <w:r>
              <w:rPr>
                <w:rFonts w:ascii="Arial;sans-serif" w:hAnsi="Arial;sans-serif"/>
                <w:b/>
                <w:color w:val="231F20"/>
                <w:sz w:val="16"/>
              </w:rPr>
              <w:t>December 31,</w:t>
              <w:br/>
              <w:t>2023</w:t>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rFonts w:ascii="Arial;sans-serif" w:hAnsi="Arial;sans-serif"/>
                <w:b w:val="false"/>
                <w:color w:val="231F20"/>
                <w:sz w:val="18"/>
              </w:rPr>
            </w:pPr>
            <w:r>
              <w:rPr>
                <w:rFonts w:ascii="Arial;sans-serif" w:hAnsi="Arial;sans-serif"/>
                <w:b w:val="false"/>
                <w:color w:val="231F20"/>
                <w:sz w:val="18"/>
              </w:rPr>
              <w:t>Screening revenue</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31F20"/>
                <w:sz w:val="18"/>
              </w:rPr>
            </w:pPr>
            <w:r>
              <w:rPr>
                <w:rFonts w:ascii="Arial;sans-serif" w:hAnsi="Arial;sans-serif"/>
                <w:b w:val="false"/>
                <w:color w:val="231F2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652 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rFonts w:ascii="Arial;sans-serif" w:hAnsi="Arial;sans-serif"/>
                <w:b w:val="false"/>
                <w:color w:val="231F20"/>
                <w:sz w:val="18"/>
              </w:rPr>
            </w:pPr>
            <w:r>
              <w:rPr>
                <w:rFonts w:ascii="Arial;sans-serif" w:hAnsi="Arial;sans-serif"/>
                <w:b w:val="false"/>
                <w:color w:val="231F20"/>
                <w:sz w:val="18"/>
              </w:rPr>
              <w:t>Cost of screening revenue</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4,617 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13,091 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8,532 </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rFonts w:ascii="Arial;sans-serif" w:hAnsi="Arial;sans-serif"/>
                <w:b w:val="false"/>
                <w:color w:val="231F20"/>
                <w:sz w:val="18"/>
              </w:rPr>
            </w:pPr>
            <w:r>
              <w:rPr>
                <w:rFonts w:ascii="Arial;sans-serif" w:hAnsi="Arial;sans-serif"/>
                <w:b w:val="false"/>
                <w:color w:val="231F20"/>
                <w:sz w:val="18"/>
              </w:rPr>
              <w:t>Cost of development services revenue</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275 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637 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238 </w:t>
            </w:r>
          </w:p>
        </w:tc>
        <w:tc>
          <w:tcPr>
            <w:tcW w:w="23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rFonts w:ascii="Arial;sans-serif" w:hAnsi="Arial;sans-serif"/>
                <w:b w:val="false"/>
                <w:color w:val="231F20"/>
                <w:sz w:val="18"/>
              </w:rPr>
            </w:pPr>
            <w:r>
              <w:rPr>
                <w:rFonts w:ascii="Arial;sans-serif" w:hAnsi="Arial;sans-serif"/>
                <w:b w:val="false"/>
                <w:color w:val="231F20"/>
                <w:sz w:val="18"/>
              </w:rPr>
              <w:t>Operating expenses—Research and development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3,306 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18,843 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19,508 </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45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rFonts w:ascii="Arial;sans-serif" w:hAnsi="Arial;sans-serif"/>
                <w:b w:val="false"/>
                <w:color w:val="231F20"/>
                <w:sz w:val="18"/>
              </w:rPr>
            </w:pPr>
            <w:r>
              <w:rPr>
                <w:rFonts w:ascii="Arial;sans-serif" w:hAnsi="Arial;sans-serif"/>
                <w:b w:val="false"/>
                <w:color w:val="231F20"/>
                <w:sz w:val="18"/>
              </w:rPr>
              <w:t>Operating expenses—General and administrative</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231F20"/>
                <w:sz w:val="18"/>
              </w:rPr>
            </w:pPr>
            <w:r>
              <w:rPr>
                <w:rFonts w:ascii="Arial;sans-serif" w:hAnsi="Arial;sans-serif"/>
                <w:b w:val="false"/>
                <w:color w:val="231F20"/>
                <w:sz w:val="18"/>
              </w:rPr>
              <w:t>206 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6"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7"/>
              <w:jc w:val="left"/>
              <w:rPr/>
            </w:pPr>
            <w:r>
              <w:rPr>
                <w:rFonts w:ascii="Arial;sans-serif" w:hAnsi="Arial;sans-serif"/>
                <w:b w:val="false"/>
                <w:color w:val="231F20"/>
                <w:sz w:val="10"/>
              </w:rPr>
              <w:t>(1)</w:t>
            </w:r>
            <w:r>
              <w:rPr>
                <w:color w:val="231F20"/>
              </w:rPr>
              <w:t xml:space="preserve"> </w:t>
            </w:r>
            <w:r>
              <w:rPr>
                <w:rFonts w:ascii="Arial;sans-serif" w:hAnsi="Arial;sans-serif"/>
                <w:b w:val="false"/>
                <w:color w:val="231F20"/>
                <w:sz w:val="16"/>
              </w:rPr>
              <w:t>Included transactions from January 1, 2025 through November 17, 2025</w:t>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June 2024, the Company entered into an amendment to its Supply and Commercialization Agreement with Illumina. Under the terms of the amended agreement, regardless of whether its products incorporate any Illumina technology, the Company has agreed to pay to Illumina a high single-digit royalty, subject to certain reductions, in perpetuity on net sales generated by its products or revenues otherwise generated or received by the Company, subject to certain exceptions, in the field of oncology. Per the terms of the Separation and Distribution Agreement with Illumina, the royalty arrangement is suspended until the earlier of December 24, 2026 or any earlier change of control of the Company, at which time a high-single digit royalty payments will be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83845"/>
                <wp:effectExtent l="0" t="0" r="0" b="0"/>
                <wp:wrapNone/>
                <wp:docPr id="208" name="Frame200"/>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195</w:t>
                      </w:r>
                    </w:p>
                  </w:txbxContent>
                </v:textbox>
                <w10:wrap type="none"/>
              </v:rect>
            </w:pict>
          </mc:Fallback>
        </mc:AlternateContent>
      </w:r>
    </w:p>
    <w:p>
      <w:pPr>
        <w:pStyle w:val="TextBody"/>
        <w:bidi w:val="0"/>
        <w:spacing w:before="240" w:after="283"/>
        <w:jc w:val="both"/>
        <w:rPr/>
      </w:pPr>
      <w:r>
        <w:rPr/>
      </w:r>
    </w:p>
    <w:p>
      <w:pPr>
        <w:pStyle w:val="TextBody"/>
        <w:bidi w:val="0"/>
        <w:spacing w:lineRule="auto" w:line="288" w:before="240" w:after="283"/>
        <w:jc w:val="both"/>
        <w:rPr/>
      </w:pPr>
      <w:hyperlink w:anchor="ie35f2f8173af4762a088d6adec8de6c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pPr>
      <w:r>
        <w:rPr>
          <w:rFonts w:ascii="Arial;sans-serif" w:hAnsi="Arial;sans-serif"/>
          <w:b/>
          <w:color w:val="231F20"/>
          <w:sz w:val="20"/>
        </w:rPr>
        <w:t>GRAIL,</w:t>
      </w:r>
      <w:r>
        <w:rPr>
          <w:color w:val="231F20"/>
        </w:rPr>
        <w:t xml:space="preserve"> </w:t>
      </w:r>
      <w:r>
        <w:rPr>
          <w:rFonts w:ascii="Arial;sans-serif" w:hAnsi="Arial;sans-serif"/>
          <w:b/>
          <w:color w:val="231F20"/>
          <w:sz w:val="20"/>
        </w:rPr>
        <w:t>Inc.</w:t>
      </w:r>
    </w:p>
    <w:p>
      <w:pPr>
        <w:pStyle w:val="TextBody"/>
        <w:bidi w:val="0"/>
        <w:spacing w:lineRule="auto" w:line="288" w:before="0" w:after="0"/>
        <w:jc w:val="center"/>
        <w:rPr/>
      </w:pPr>
      <w:r>
        <w:rPr>
          <w:rFonts w:ascii="Arial;sans-serif" w:hAnsi="Arial;sans-serif"/>
          <w:b/>
          <w:color w:val="231F20"/>
          <w:sz w:val="20"/>
        </w:rPr>
        <w:t>NOTES TO CONSOLIDATED</w:t>
      </w:r>
      <w:r>
        <w:rPr>
          <w:color w:val="231F20"/>
        </w:rPr>
        <w:t xml:space="preserve"> </w:t>
      </w:r>
      <w:r>
        <w:rPr>
          <w:rFonts w:ascii="Arial;sans-serif" w:hAnsi="Arial;sans-serif"/>
          <w:b/>
          <w:color w:val="231F20"/>
          <w:sz w:val="20"/>
        </w:rPr>
        <w:t>FINANCIAL</w:t>
      </w:r>
      <w:r>
        <w:rPr>
          <w:color w:val="231F20"/>
        </w:rPr>
        <w:t xml:space="preserve"> </w:t>
      </w:r>
      <w:r>
        <w:rPr>
          <w:rFonts w:ascii="Arial;sans-serif" w:hAnsi="Arial;sans-serif"/>
          <w:b/>
          <w:color w:val="231F20"/>
          <w:sz w:val="20"/>
        </w:rPr>
        <w:t>STATEMENTS</w:t>
      </w:r>
    </w:p>
    <w:p>
      <w:pPr>
        <w:pStyle w:val="TextBody"/>
        <w:bidi w:val="0"/>
        <w:spacing w:lineRule="auto" w:line="288" w:before="360" w:after="283"/>
        <w:jc w:val="left"/>
        <w:rPr/>
      </w:pPr>
      <w:r>
        <w:rPr>
          <w:rFonts w:ascii="Arial;sans-serif" w:hAnsi="Arial;sans-serif"/>
          <w:b/>
          <w:color w:val="000000"/>
          <w:sz w:val="20"/>
        </w:rPr>
        <w:t>NOTE 17.</w:t>
      </w:r>
      <w:r>
        <w:rPr>
          <w:color w:val="231F20"/>
        </w:rPr>
        <w:t xml:space="preserve"> </w:t>
      </w:r>
      <w:r>
        <w:rPr>
          <w:rFonts w:ascii="Arial;sans-serif" w:hAnsi="Arial;sans-serif"/>
          <w:b/>
          <w:color w:val="000000"/>
          <w:sz w:val="20"/>
        </w:rPr>
        <w:t xml:space="preserve">SUBSEQUENT EVENTS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2024 Incentive Award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January 1, 2026, in accordance with the automatic evergreen provision of the 2024 Incentive Award Plan the maximum number of shares that can be issued under the plan was increased to 12,368,055. Subsequent to December 31, 2025, the Company granted 1.7 million RSUs of Class A common stock to employees. The RSUs are subject to continued service, vest annually over a service period 4 years, and had a fair market value on the grant date of $88.5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2024 Employee Stock Purchase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January 1, 2026, in accordance with the automatic evergreen provision of the 2024 Employee Stock Purchase Plan the maximum number of shares that can be issued under the plan was increased to 1,156,269.</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Potential Impairment of Long-Lived Intangible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February 19, 2026, the Company issued a press release announcing top-line results from its NHS-Galleri trial, showing that, although the primary endpoint of statistically significant Stage 3 and 4 reduction was not observed, adding Galleri to standard of care screening resulted in a substantial reduction in Stage 4 cancer diagnoses, increased Stage 1 and 2 detection of deadly cancers, and four-fold higher cancer detection rate when compared to standard of care alone. Immediately following the release of this information, the Company’s market capitalization decreased materially. This decrease in market capitalization represents a possible impairment indicator that could result in an impairment of our long-lived intangible assets, which had a balance of $1.9 billion as of December 31, 2025. As a result, the Company expects to perform an interim impairment test during the first quarter of 2026 as this is the period in which such information was available to management. The Company has not yet completed this interim impairment test as of the date of this filing. See Note 2 Summary of Significant Accounting Policies for information about how long-lived intangible assets are tested for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83845"/>
                <wp:effectExtent l="0" t="0" r="0" b="0"/>
                <wp:wrapNone/>
                <wp:docPr id="209" name="Frame201"/>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Limitation on Effectiveness of Controls and Procedures</w:t>
      </w:r>
    </w:p>
    <w:p>
      <w:pPr>
        <w:pStyle w:val="TextBody"/>
        <w:bidi w:val="0"/>
        <w:spacing w:lineRule="auto" w:line="288" w:before="240" w:after="283"/>
        <w:ind w:left="0" w:right="0" w:firstLine="45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 xml:space="preserve">Evaluation of Disclosure Controls and Procedures </w:t>
      </w:r>
    </w:p>
    <w:p>
      <w:pPr>
        <w:pStyle w:val="TextBody"/>
        <w:bidi w:val="0"/>
        <w:spacing w:lineRule="auto" w:line="288" w:before="240" w:after="283"/>
        <w:ind w:left="0" w:right="0" w:firstLine="450"/>
        <w:jc w:val="left"/>
        <w:rPr/>
      </w:pPr>
      <w:r>
        <w:rPr>
          <w:rFonts w:ascii="Arial;sans-serif" w:hAnsi="Arial;sans-serif"/>
          <w:b w:val="false"/>
          <w:color w:val="000000"/>
          <w:sz w:val="20"/>
          <w:shd w:fill="FFFFFF" w:val="clear"/>
        </w:rPr>
        <w:t>Our management, with the participation of our principal executive officer and principal financial officer, evaluated, as of the end of the period covered by this Annual Report on Form 10</w:t>
        <w:noBreakHyphen/>
        <w:t>K, the effectiveness of our disclosure controls and procedures (as defined in Rules 13a</w:t>
        <w:noBreakHyphen/>
        <w:t>15(e) and 15d</w:t>
        <w:noBreakHyphen/>
        <w:t xml:space="preserve">15(e) under the Exchange Act). Based on that evaluation, our principal executive officer and principal financial officer concluded that, as of </w:t>
      </w:r>
      <w:r>
        <w:rPr>
          <w:rFonts w:ascii="Arial;sans-serif" w:hAnsi="Arial;sans-serif"/>
          <w:b w:val="false"/>
          <w:color w:val="000000"/>
          <w:sz w:val="20"/>
        </w:rPr>
        <w:t>December 31, 2025</w:t>
      </w:r>
      <w:r>
        <w:rPr>
          <w:rFonts w:ascii="Arial;sans-serif" w:hAnsi="Arial;sans-serif"/>
          <w:b w:val="false"/>
          <w:color w:val="000000"/>
          <w:sz w:val="20"/>
          <w:shd w:fill="FFFFFF" w:val="clear"/>
        </w:rPr>
        <w:t>, our disclosure controls and procedures were effective at the reasonable assurance level.</w:t>
      </w:r>
      <w:r>
        <w:rPr>
          <w:color w:val="000000"/>
        </w:rPr>
        <w:t xml:space="preserve"> </w:t>
      </w:r>
    </w:p>
    <w:p>
      <w:pPr>
        <w:pStyle w:val="TextBody"/>
        <w:bidi w:val="0"/>
        <w:spacing w:lineRule="auto" w:line="288" w:before="240" w:after="283"/>
        <w:ind w:left="0" w:right="0" w:firstLine="450"/>
        <w:jc w:val="left"/>
        <w:rPr>
          <w:rFonts w:ascii="Arial;sans-serif" w:hAnsi="Arial;sans-serif"/>
          <w:b/>
          <w:i/>
          <w:color w:val="000000"/>
          <w:sz w:val="20"/>
        </w:rPr>
      </w:pPr>
      <w:r>
        <w:rPr>
          <w:rFonts w:ascii="Arial;sans-serif" w:hAnsi="Arial;sans-serif"/>
          <w:b/>
          <w:i/>
          <w:color w:val="000000"/>
          <w:sz w:val="20"/>
        </w:rPr>
        <w:t>Management’s Annual Report on Internal Control over Financial Reporting</w:t>
      </w:r>
    </w:p>
    <w:p>
      <w:pPr>
        <w:pStyle w:val="TextBody"/>
        <w:bidi w:val="0"/>
        <w:spacing w:lineRule="auto" w:line="288" w:before="240" w:after="283"/>
        <w:ind w:left="0" w:right="0" w:firstLine="450"/>
        <w:jc w:val="left"/>
        <w:rPr/>
      </w:pPr>
      <w:r>
        <w:rPr>
          <w:rFonts w:ascii="Arial;sans-serif" w:hAnsi="Arial;sans-serif"/>
          <w:b w:val="false"/>
          <w:color w:val="000000"/>
          <w:sz w:val="20"/>
        </w:rPr>
        <w:t xml:space="preserve">Our management is responsible for establishing and maintaining adequate internal control over financial reporting, as such term is defined in the Exchange Act Rules13a-15(f). Our management conducted an assessment of the effectiveness of our internal control over financial reporting based on the framework in Internal Control 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2025. </w:t>
      </w:r>
      <w:r>
        <w:rPr>
          <w:rFonts w:ascii="Arial;sans-serif" w:hAnsi="Arial;sans-serif"/>
          <w:b w:val="false"/>
          <w:color w:val="000000"/>
          <w:sz w:val="20"/>
          <w:shd w:fill="FFFFFF" w:val="clear"/>
        </w:rPr>
        <w:t>This Annual Report on Form 10-K does not include an attestation report of our independent registered public accounting firm due to a transition period established by rules of the SEC for “emerging growth companies”.</w:t>
      </w:r>
    </w:p>
    <w:p>
      <w:pPr>
        <w:pStyle w:val="TextBody"/>
        <w:bidi w:val="0"/>
        <w:spacing w:lineRule="auto" w:line="288" w:before="240" w:after="283"/>
        <w:ind w:left="0" w:right="0" w:firstLine="450"/>
        <w:jc w:val="left"/>
        <w:rPr/>
      </w:pPr>
      <w:r>
        <w:rPr>
          <w:rFonts w:ascii="Arial;sans-serif" w:hAnsi="Arial;sans-serif"/>
          <w:b/>
          <w:color w:val="000000"/>
          <w:sz w:val="20"/>
        </w:rPr>
        <w:t>C</w:t>
      </w:r>
      <w:r>
        <w:rPr>
          <w:rFonts w:ascii="Arial;sans-serif" w:hAnsi="Arial;sans-serif"/>
          <w:b/>
          <w:i/>
          <w:color w:val="000000"/>
          <w:sz w:val="20"/>
        </w:rPr>
        <w:t>hanges in Internal Control over Financial Reporting</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during the fourth quarter of December 31, 2025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9B. Other </w:t>
      </w: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(a)Disclosure in lieu of reporting on a Current Report on Form 8-K.</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March 10, 2026, the Board of Directors appointed Joshua Ofman, M.D., MSHS, age 61, to serve as Chief Executive Officer of the Company, effective June 1, 2026 (the “Transition Effective Date”). The Board also appointed Dr. Ofman to serve as a Class III director, effective on March 12, 2026, immediately following the filing of this Annual Report on Form 10-K and a Registration Statement on Form S-8 relating to the registration of certain shares under our Employee Stock Purchase Plan and Incentive Award Plan, to hold office until the 2027 annual meeting of stockholders. We intend to nominate Dr. Ofman for reelection to the Board at the 2027 annual meeting of stockholders.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Dr. Ofman has served as the Company's President since June 2021 and previously served as the Company's Chief Medical Officer from November 2021 until June 2022, as the Company's Chief Medical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83845"/>
                <wp:effectExtent l="0" t="0" r="0" b="0"/>
                <wp:wrapNone/>
                <wp:docPr id="210" name="Frame20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and Head of External Affairs from June 2020 until August 2021, and as Chief of Corporate Strategy and External Affairs from June 2019 until January 2020. Dr. Ofman has previously served on the Board of Directors of two privately held biotechnology companies. Previously, Dr. Ofman spent more than 15 years at Amgen, where he last served in the role of Senior Vice President, Global Value, Access and Policy. Prior to that, Dr. Ofman was a faculty member in the Department of Medicine and Health Services Research at University of California, Los Angeles ("UCLA") School of Medicine, Cedars-Sinai Medical Center, as well as Senior Vice President of Zynx Health, Inc. Dr. Ofman holds a B.A. in history and philosophy of science from the University of California, Berkeley, an M.D. from the University of California, Irvine, School of Medicine, and an MSHS from the UCLA School of Public Health.</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There are no arrangements or understandings between Dr. Ofman and any other persons pursuant to which Dr. Ofman was appointed as Chief Executive Officer. Dr. Ofman has no direct or indirect material interest in any transaction required to be disclosed pursuant to Item 404(a) of Regulation S-K, and there are no family relationships between Dr. Ofman and any director or executive officer of the Company.</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material terms of any compensatory arrangements entered into with Dr. Ofman in connection with his appointment as Chief Executive Officer will be disclosed once determined in a subsequent periodic or current report, as required.</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March 12, 2026, Robert Ragusa announced his retirement as Chief Executive Officer of the Company and as a Class III director, in each case, effective on the Transition Effective Date (June 1, 2026).</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In connection with Mr. Ragusa's retirement, the Company and Mr. Ragusa entered into a Transition Agreement, dated as of March 10, 2026 (the "Transition Agreement"). A copy of the Transition Agreement is filed as Exhibit 10.15 to this Annual Report on Form 10-K and is incorporated herein by reference.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Transition Agreement, Mr. Ragusa will continue to serve as our Chief Executive Officer until the Transition Effective Date and, following the Transition Effective Date, will serve as a senior executive advisor until March 12, 2027 (such period the “Transition Period”). During the Transition Period, Mr. Ragusa will assist and cooperate with the Company with respect to the transition of the position of Chief Executive Officer to Dr. Ofman.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Transition Agreement, Mr. Ragusa will continue to receive the same compensation and benefits as currently in effect until the Transition Date. During the Transition Period, we will pay or provide to Mr. Ragusa: (i) an annualized base salary of $300,000, (ii) continued participation in health and welfare benefits or comparable subsidized healthcare continuation coverage, (iii) a pro-rated bonus under the Company’s Variable Compensation Plan for portion of calendar year 2026 preceding the Transition Date, subject to Mr. Ragusa’s continued employment through the end of the Transition Period, execution of a release of claims, and continued compliance with restrictive covenants, and (iv) continued vesting of outstanding and unvested equity awards (without eligibility for accelerated vesting, except as described below).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If the Company terminates Mr. Ragusa’s employment without Cause (as defined in the Transition Agreement) prior to March 12, 2027, subject to his execution of a release of claims and continued compliance with restrictive covenants, Mr. Ragusa will be entitled to receive: (i) continued payment of his base salary through March 12, 2027, (ii) subsidized healthcare continuation coverage through March 2027, (iii) his pro-rated bonus (if earned), and (iv) accelerated vesting solely as to the portion of his outstanding and unvested equity awards that would have vested had his employment continued through March 12, 2027.</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Transition Agreement includes a general release of claims in favor of the Company and provides that Mr. Ragusa will continue to comply with certain restrictive covenants, including confidentiality, non-disparagement, non-competition, and non-solicitation provisions contained therein.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foregoing description of the Transition Agreement is qualified in its entirety by reference to a copy of the Transition Agreement which is hereby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83845"/>
                <wp:effectExtent l="0" t="0" r="0" b="0"/>
                <wp:wrapNone/>
                <wp:docPr id="211" name="Frame20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(b)Insider Trading Arrangements and Policies.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During the three months ended December 31, 2025, the following of our directors or officers (as defined in Rule 16a-1(f) under the Securities Exchange Act of 1934, as amended) adopted, modified or terminated a “Rule 10b5-1 trading arrangement” or a “non-Rule 10b5-1 trading arrangement”, as each term is defined in Item 408(a) of Regulation S-K. None of our other directors or officers adopted, modified or terminated a “Rule 10b5-1 trading arrangement” or a “non-Rule 10b5-1 trading arrangement” during this period, other than as set forth below.</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December 2, 2025, Dr. Joshua Ofman, President of the Company, modified a Rule 10b5-1 trading arrangement intended to satisfy the affirmative defense of Rule 10b5-1(c) (as modified, the “2026 Ofman Trading Arrangement”). The 2026 Ofman Trading Arrangement modifies the 2025 Ofman Trading Arrangement, as defined in our Quarterly Report on Form 10-Q for the three months ended March 31, 2025, and provides for the sale of up to 86,452 shares of common stock, subject to price limitations, until February 20, 2027.</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On December 11, 2025, Mr. Aaron Freidin, Chief Financial Officer of the Company, modified a Rule 10b5-1 trading arrangement intended to satisfy the affirmative defense of Rule 10b5-1(c) (as modified, the “2026 Freidin Trading Arrangement”). The 2026 Freidin Trading Arrangement modifies the 2025 Freidin Trading Arrangement, as defined in our Quarterly Report on Form 10-Q for the three months ended March 31, 2025, and provides for the sale of up to 21,000 shares of common stock, subject to price limitations, until March 19,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83845"/>
                <wp:effectExtent l="0" t="0" r="0" b="0"/>
                <wp:wrapNone/>
                <wp:docPr id="212" name="Frame204"/>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199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40" w:after="283"/>
        <w:ind w:left="0" w:right="0" w:firstLine="450"/>
        <w:jc w:val="left"/>
        <w:rPr/>
      </w:pPr>
      <w:r>
        <w:rPr>
          <w:rFonts w:ascii="Arial;sans-serif" w:hAnsi="Arial;sans-serif"/>
          <w:b w:val="false"/>
          <w:color w:val="000000"/>
          <w:sz w:val="20"/>
        </w:rPr>
        <w:t>Not applicable</w:t>
      </w:r>
      <w:r>
        <w:rPr>
          <w:rFonts w:ascii="Arial;sans-serif" w:hAnsi="Arial;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83845"/>
                <wp:effectExtent l="0" t="0" r="0" b="0"/>
                <wp:wrapNone/>
                <wp:docPr id="213" name="Frame205"/>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Information about our Directors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information concerning our board of directors.</w:t>
      </w:r>
    </w:p>
    <w:tbl>
      <w:tblPr>
        <w:tblW w:w="6684" w:type="dxa"/>
        <w:jc w:val="left"/>
        <w:tblInd w:w="0" w:type="dxa"/>
        <w:tblLayout w:type="fixed"/>
        <w:tblCellMar>
          <w:top w:w="28" w:type="dxa"/>
          <w:left w:w="28" w:type="dxa"/>
          <w:bottom w:w="28" w:type="dxa"/>
          <w:right w:w="28" w:type="dxa"/>
        </w:tblCellMar>
      </w:tblPr>
      <w:tblGrid>
        <w:gridCol w:w="777"/>
        <w:gridCol w:w="678"/>
        <w:gridCol w:w="689"/>
        <w:gridCol w:w="109"/>
        <w:gridCol w:w="109"/>
        <w:gridCol w:w="109"/>
        <w:gridCol w:w="155"/>
        <w:gridCol w:w="155"/>
        <w:gridCol w:w="156"/>
        <w:gridCol w:w="109"/>
        <w:gridCol w:w="109"/>
        <w:gridCol w:w="109"/>
        <w:gridCol w:w="1001"/>
        <w:gridCol w:w="1001"/>
        <w:gridCol w:w="1418"/>
      </w:tblGrid>
      <w:tr>
        <w:trPr/>
        <w:tc>
          <w:tcPr>
            <w:tcW w:w="7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Position(s)</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Sarah Krevans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Steve Mizell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Robert Ragusa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Gregory (Greg) Summe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Director and Chairperson of the Board</w:t>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are brief biographies describing the backgrounds of our directors.</w:t>
      </w:r>
    </w:p>
    <w:p>
      <w:pPr>
        <w:pStyle w:val="TextBody"/>
        <w:bidi w:val="0"/>
        <w:spacing w:lineRule="auto" w:line="288" w:before="0" w:after="0"/>
        <w:ind w:left="0" w:right="0" w:firstLine="450"/>
        <w:jc w:val="left"/>
        <w:rPr/>
      </w:pPr>
      <w:r>
        <w:rPr>
          <w:rFonts w:ascii="Arial;sans-serif" w:hAnsi="Arial;sans-serif"/>
          <w:b/>
          <w:color w:val="000000"/>
          <w:sz w:val="20"/>
        </w:rPr>
        <w:t>William Chase</w:t>
      </w:r>
      <w:r>
        <w:rPr>
          <w:color w:val="000000"/>
        </w:rPr>
        <w:t xml:space="preserve"> </w:t>
      </w:r>
      <w:r>
        <w:rPr>
          <w:rFonts w:ascii="Arial;sans-serif" w:hAnsi="Arial;sans-serif"/>
          <w:b w:val="false"/>
          <w:color w:val="000000"/>
          <w:sz w:val="20"/>
        </w:rPr>
        <w:t>has served as a member of our Board since June 2024. Mr. Chase most recently served for 7 years in roles as Executive Vice President, Finance and Administration and Executive Vice President and Chief Financial Officer at AbbVie Inc. (“AbbVie”) from October 2018 until July 2019, where he oversaw all financial, investor, and IT activities and played a critical role in the development of the company’s strategy and licensing and acquisition actions. Prior to AbbVie, Mr. Chase served nearly 25 years in positions of increasing responsibility at Abbott Laboratories, including roles as Corporate Vice President, Licensing &amp; Acquisitions, Corporate Vice President and Treasurer, and Controller, Abbott International. He currently serves as a director and as chair of the audit committee on the boards of each of Intellia Therapeutics, Inc., a publicly-traded biotechnology company, since April 2023, and Parexel International, a privately-held biopharmaceutical services company, since November 2021. Mr. Chase holds a B.S. from the University of Illinois and an M.B.A. from the University of Chicago Booth School of Business. We believe that Mr. Chase is qualified to serve as a member of our board of directors because of his extensive experience in the biotechnology and pharmaceutical industry and his extensive financial and accounting experience.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Arial;sans-serif" w:hAnsi="Arial;sans-serif"/>
          <w:b/>
          <w:color w:val="000000"/>
          <w:sz w:val="20"/>
        </w:rPr>
        <w:t>Sarah Krevans</w:t>
      </w:r>
      <w:r>
        <w:rPr>
          <w:color w:val="000000"/>
        </w:rPr>
        <w:t xml:space="preserve"> </w:t>
      </w:r>
      <w:r>
        <w:rPr>
          <w:rFonts w:ascii="Arial;sans-serif" w:hAnsi="Arial;sans-serif"/>
          <w:b w:val="false"/>
          <w:color w:val="000000"/>
          <w:sz w:val="20"/>
        </w:rPr>
        <w:t>has served as a member of our Board since October 21, 2024. Ms. Krevans is the former President and CEO of Sutter Health, a Northern California based not-for-profit, where she served as CEO from 2016 until 2022. She was responsible for Sutter Health’s integrated network of 14,000 clinicians, 24 hospitals, outpatient services, research facilities, and home health and hospice care. Previously, Ms. Krevans served as chief operating officer and president of the Sutter Health Sacramento Sierra Region. She also held executive roles at Kaiser Permanente and served as deputy director of Maine’s Bureau of Medical Services and acting director of Medicaid, health planning and licensure programs. Ms. Krevans has served as a Board Member for The Acacium Group since 2021 and is the Chair for CaringBridge, where she has served as a director since 2022. She also serves as an Advisory Board Member for Alignment Health Plan. Ms. Krevans served on Boards of many not-for-profit organizations and served as Chair of the California Hospital Association in 2022 and as a director from 2016 until 2022. Ms. Krevans earned master’s degrees in business administration and in public health from the University of California, Berkeley, and a bachelor’s degree from Boston University. We believe that Ms. Krevans is qualified to serve as a member of our board of directors because of her experience in U.S. healthcare delivery systems and her extensive industry and leadership experience.</w:t>
      </w:r>
    </w:p>
    <w:p>
      <w:pPr>
        <w:pStyle w:val="TextBody"/>
        <w:bidi w:val="0"/>
        <w:spacing w:lineRule="auto" w:line="288" w:before="240" w:after="283"/>
        <w:ind w:left="0" w:right="0" w:firstLine="450"/>
        <w:jc w:val="left"/>
        <w:rPr/>
      </w:pPr>
      <w:r>
        <w:rPr>
          <w:rFonts w:ascii="Arial;sans-serif" w:hAnsi="Arial;sans-serif"/>
          <w:b/>
          <w:color w:val="000000"/>
          <w:sz w:val="20"/>
        </w:rPr>
        <w:t>Steve Mizell</w:t>
      </w:r>
      <w:r>
        <w:rPr>
          <w:color w:val="000000"/>
        </w:rPr>
        <w:t xml:space="preserve"> </w:t>
      </w:r>
      <w:r>
        <w:rPr>
          <w:rFonts w:ascii="Arial;sans-serif" w:hAnsi="Arial;sans-serif"/>
          <w:b w:val="false"/>
          <w:color w:val="000000"/>
          <w:sz w:val="20"/>
        </w:rPr>
        <w:t xml:space="preserve">has served as a member of our Board since June 2024. Mr. Mizell is the former Executive Vice President and Chief Human Resources Officer at Merck &amp; Co., Inc., where was employed from October 2018 until his retirement on July 1, 2024. He was responsible for talent acquisition and development, employee health and wellness, total rewards, and human capital management for over 68,000 employees across the world. Mr. Mizell previously served as Executive Vice President &amp; Chief Human Resources Officer at Monsanto Company from 2004 until 2018, where he created an industry-leading workplace for more than 20,000 employees globally. Before that, Mr. Mizell served as Senior Vice President and Chief Corporate Resources Officer for AdvancePCS Inc. and previous to that held several key human resources management roles at companies across the energy, defense, manufacturing, communications and technology sectors. He currently serves on the boards of Allegion Plc.,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83845"/>
                <wp:effectExtent l="0" t="0" r="0" b="0"/>
                <wp:wrapNone/>
                <wp:docPr id="214" name="Frame206"/>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pPr>
      <w:r>
        <w:rPr>
          <w:rFonts w:ascii="Arial;sans-serif" w:hAnsi="Arial;sans-serif"/>
          <w:b w:val="false"/>
          <w:color w:val="000000"/>
          <w:sz w:val="20"/>
        </w:rPr>
        <w:t>publicly-traded security products company, since February 2020, and Group 1 Automotive, Inc., a publicly-traded automotive retailer since March 2021, and has earned a Directorship Certification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from the National Association of Corporate Directors. Mr. Mizell holds a B.S. from Georgia Institute of Technology and an M.S. from Carnegie Mellon University. We believe that Mr. Mizell is qualified to serve as a member of our board of directors because of his extensive experience in risk management, human capital management and leadership.</w:t>
      </w:r>
    </w:p>
    <w:p>
      <w:pPr>
        <w:pStyle w:val="TextBody"/>
        <w:bidi w:val="0"/>
        <w:spacing w:lineRule="auto" w:line="288" w:before="240" w:after="283"/>
        <w:ind w:left="0" w:right="0" w:firstLine="450"/>
        <w:jc w:val="left"/>
        <w:rPr/>
      </w:pPr>
      <w:r>
        <w:rPr>
          <w:rFonts w:ascii="Arial;sans-serif" w:hAnsi="Arial;sans-serif"/>
          <w:b/>
          <w:color w:val="000000"/>
          <w:sz w:val="20"/>
        </w:rPr>
        <w:t>Gregory Summe</w:t>
      </w:r>
      <w:r>
        <w:rPr>
          <w:color w:val="000000"/>
        </w:rPr>
        <w:t xml:space="preserve"> </w:t>
      </w:r>
      <w:r>
        <w:rPr>
          <w:rFonts w:ascii="Arial;sans-serif" w:hAnsi="Arial;sans-serif"/>
          <w:b w:val="false"/>
          <w:color w:val="000000"/>
          <w:sz w:val="20"/>
        </w:rPr>
        <w:t>has served as Chair of our Board since June 2024. Mr. Summe is the Founder of investment fund Glen Capital Partners LLC and has served as the Managing Partner since June 2014. Mr. Summe previously served as Managing Director and Vice Chairman of Global Buyout at The Carlyle Group from October 2009 until June 2014. Prior to The Carlyle Group, Mr. Summe served for over a decade as Chairman, CEO, and President of PerkinElmer, Inc., a leading diagnostics and life sciences company. He also served as a Senior Advisor at Goldman Sachs Capital Partners and was the President of AlliedSignal, Inc.’s Automotive, Jet Engine, and General Avionics businesses. Previously, he was the General Manager of General Electric Commercial Motors and a Partner at McKinsey and Company. He currently serves on the boards of NXP Semiconductors N.V., a publicly-traded semiconductor company, since December 2015, Avantor, Inc., a publicly-traded Life Sciences company, since May 2020 and is the chairman, Wheels Up, a publicly traded private aviation company since September 2024 and is a Senior Advisor at Star Mountain Capital, LLC. Mr. Summe previously served on the boards of State Street Corp., a publicly traded financial services company from 2001 until May 2025, Virgin Orbit Holdings, Inc., a publicly-traded space launch services company, from January 2022 until August 2023, and NextGen Acquisition Corp I &amp; II from July 2020 until December 2021. Mr. Summe holds a B.S. from the University of Kentucky, an M.S. from the University of Cincinnati, and an M.B.A. from the Wharton School of the University of Pennsylvania. We believe that Mr. Summe is qualified to serve as a member of our board of directors because of his extensive corporate leadership, industry, and finance experience.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biography of Robert Ragusa is set forth under the section below “—Information about our Executive Officers.”</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 xml:space="preserve">Information about our Executive Officers. </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presents information concerning our executive officers.</w:t>
      </w:r>
    </w:p>
    <w:tbl>
      <w:tblPr>
        <w:tblW w:w="5814" w:type="dxa"/>
        <w:jc w:val="left"/>
        <w:tblInd w:w="0" w:type="dxa"/>
        <w:tblLayout w:type="fixed"/>
        <w:tblCellMar>
          <w:top w:w="28" w:type="dxa"/>
          <w:left w:w="28" w:type="dxa"/>
          <w:bottom w:w="28" w:type="dxa"/>
          <w:right w:w="28" w:type="dxa"/>
        </w:tblCellMar>
      </w:tblPr>
      <w:tblGrid>
        <w:gridCol w:w="509"/>
        <w:gridCol w:w="446"/>
        <w:gridCol w:w="455"/>
        <w:gridCol w:w="109"/>
        <w:gridCol w:w="109"/>
        <w:gridCol w:w="109"/>
        <w:gridCol w:w="155"/>
        <w:gridCol w:w="155"/>
        <w:gridCol w:w="156"/>
        <w:gridCol w:w="109"/>
        <w:gridCol w:w="109"/>
        <w:gridCol w:w="109"/>
        <w:gridCol w:w="961"/>
        <w:gridCol w:w="961"/>
        <w:gridCol w:w="1362"/>
      </w:tblGrid>
      <w:tr>
        <w:trPr/>
        <w:tc>
          <w:tcPr>
            <w:tcW w:w="5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Position(s)</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Robert Ragusa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Aaron Freidin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Joshua Ofman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w:t>
            </w:r>
          </w:p>
        </w:tc>
      </w:tr>
    </w:tbl>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are brief biographies describing the backgrounds of our executive officers.</w:t>
      </w:r>
    </w:p>
    <w:p>
      <w:pPr>
        <w:pStyle w:val="TextBody"/>
        <w:bidi w:val="0"/>
        <w:spacing w:lineRule="auto" w:line="288" w:before="240" w:after="283"/>
        <w:ind w:left="0" w:right="0" w:firstLine="450"/>
        <w:jc w:val="left"/>
        <w:rPr/>
      </w:pPr>
      <w:r>
        <w:rPr>
          <w:rFonts w:ascii="Arial;sans-serif" w:hAnsi="Arial;sans-serif"/>
          <w:b/>
          <w:color w:val="000000"/>
          <w:sz w:val="20"/>
        </w:rPr>
        <w:t>Robert Ragusa</w:t>
      </w:r>
      <w:r>
        <w:rPr>
          <w:color w:val="000000"/>
        </w:rPr>
        <w:t xml:space="preserve"> </w:t>
      </w:r>
      <w:r>
        <w:rPr>
          <w:rFonts w:ascii="Arial;sans-serif" w:hAnsi="Arial;sans-serif"/>
          <w:b w:val="false"/>
          <w:color w:val="000000"/>
          <w:sz w:val="20"/>
        </w:rPr>
        <w:t>has served as our Chief Executive Officer since October 2021 and as a member of our Board since June 2024. Mr. Ragusa was previously Chief Operations Officer for Illumina from December 2013 until October 2021, where he was responsible for the company’s operations serving clinical and research customers. Prior to joining Illumina, Mr. Ragusa was Executive Vice President of Engineering and Global Operations at Accuray Incorporated from April 2010 until December 2013, a radiation oncology company, where he and his team were responsible for the development, manufacturing and distribution of innovative precision treatment solutions. Mr. Ragusa also previously served as Senior Vice President of Global Operations for Applied Biosystems from 1997 until 2005. Mr. Ragusa currently serves on the Board of Directors for Twist Bioscience Corporation, a publicly-held synthetic biology company, since December 2016. Mr. Ragusa holds a B.S. in electrical engineering and an M.B.A. from the University of Connecticut as well as an M.S. in biomedical and electrical engineering from Carnegie Mellon University.</w:t>
      </w:r>
    </w:p>
    <w:p>
      <w:pPr>
        <w:pStyle w:val="TextBody"/>
        <w:bidi w:val="0"/>
        <w:spacing w:lineRule="auto" w:line="288" w:before="240" w:after="283"/>
        <w:ind w:left="0" w:right="0" w:firstLine="450"/>
        <w:jc w:val="left"/>
        <w:rPr/>
      </w:pPr>
      <w:r>
        <w:rPr>
          <w:rFonts w:ascii="Arial;sans-serif" w:hAnsi="Arial;sans-serif"/>
          <w:b/>
          <w:color w:val="000000"/>
          <w:sz w:val="20"/>
        </w:rPr>
        <w:t>Aaron Freidin</w:t>
      </w:r>
      <w:r>
        <w:rPr>
          <w:color w:val="000000"/>
        </w:rPr>
        <w:t xml:space="preserve"> </w:t>
      </w:r>
      <w:r>
        <w:rPr>
          <w:rFonts w:ascii="Arial;sans-serif" w:hAnsi="Arial;sans-serif"/>
          <w:b w:val="false"/>
          <w:color w:val="000000"/>
          <w:sz w:val="20"/>
        </w:rPr>
        <w:t xml:space="preserve">has served as our Chief Financial Officer since November 2021 and previously served in various roles at GRAIL since 2016, including Senior Vice President of Finance from January 2021 until November 2021, Vice President of Finance from June 2018 until January 2021, and Corporate Controller from August 2016 until June 2018. Mr. Freidin previously served as VP, Corporate Controller at Counsyl, where he led the Accounting, Reporting, Facilities and Procurement functions. Before this, Mr. Freidin led the SEC Reporting and Revenue functions at Cepheid, and managed multinational and cross-functional client service teams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83845"/>
                <wp:effectExtent l="0" t="0" r="0" b="0"/>
                <wp:wrapNone/>
                <wp:docPr id="215" name="Frame207"/>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PricewaterhouseCoopers LLP. Mr. Freidin has over 24 years of finance and accounting experience. Mr. Freidin is a Certified Public Accountant (Inactive) and holds a B.A. in business management from the University of California, Santa Cruz.</w:t>
      </w:r>
    </w:p>
    <w:p>
      <w:pPr>
        <w:pStyle w:val="TextBody"/>
        <w:bidi w:val="0"/>
        <w:spacing w:lineRule="auto" w:line="288" w:before="240" w:after="283"/>
        <w:ind w:left="0" w:right="0" w:firstLine="450"/>
        <w:jc w:val="left"/>
        <w:rPr/>
      </w:pPr>
      <w:r>
        <w:rPr>
          <w:rFonts w:ascii="Arial;sans-serif" w:hAnsi="Arial;sans-serif"/>
          <w:b/>
          <w:color w:val="000000"/>
          <w:sz w:val="20"/>
        </w:rPr>
        <w:t>Joshua Ofman</w:t>
      </w:r>
      <w:r>
        <w:rPr>
          <w:rFonts w:ascii="Arial;sans-serif" w:hAnsi="Arial;sans-serif"/>
          <w:b w:val="false"/>
          <w:color w:val="000000"/>
          <w:sz w:val="20"/>
        </w:rPr>
        <w:t>, M.D., MSHS, has served as our President since June 2021 and previously served as our Chief Medical Officer from November 2021 until June 2022, as our Chief Medical Officer and Head of External Affairs from June 2020 until August 2021, and as Chief of Corporate Strategy and External Affairs from June 2019 until January 2020. Dr. Ofman has previously served on the Board of Directors of two privately held biotechnology companies. Previously, Dr. Ofman spent more than 15 years at Amgen, where he most recently held the role of Senior Vice President, Global Value, Access and Policy. Prior to that, Dr. Ofman was a faculty member in the Department of Medicine and Health Services Research at University of California, Los Angeles (“UCLA”) School of Medicine, Cedars-Sinai Medical Center, as well as Senior Vice President of Zynx Health Inc. Dr. Ofman holds a B.A. in history and philosophy of science from the University of California, Berkeley, an M.D. from the University of California, Irvine, School of Medicine, and an MSHS from the UCLA School of Public Health.</w:t>
      </w:r>
    </w:p>
    <w:p>
      <w:pPr>
        <w:pStyle w:val="TextBody"/>
        <w:bidi w:val="0"/>
        <w:spacing w:lineRule="auto" w:line="288" w:before="240" w:after="283"/>
        <w:ind w:left="0" w:right="0" w:firstLine="450"/>
        <w:jc w:val="left"/>
        <w:rPr>
          <w:rFonts w:ascii="Arial;sans-serif" w:hAnsi="Arial;sans-serif"/>
          <w:b/>
          <w:color w:val="000000"/>
          <w:sz w:val="20"/>
        </w:rPr>
      </w:pPr>
      <w:r>
        <w:rPr>
          <w:rFonts w:ascii="Arial;sans-serif" w:hAnsi="Arial;sans-serif"/>
          <w:b/>
          <w:color w:val="000000"/>
          <w:sz w:val="20"/>
        </w:rPr>
        <w:t>Code of Ethics</w:t>
      </w:r>
    </w:p>
    <w:p>
      <w:pPr>
        <w:pStyle w:val="TextBody"/>
        <w:bidi w:val="0"/>
        <w:spacing w:lineRule="auto" w:line="288" w:before="240" w:after="283"/>
        <w:ind w:left="0" w:right="0" w:firstLine="450"/>
        <w:jc w:val="both"/>
        <w:rPr/>
      </w:pPr>
      <w:r>
        <w:rPr>
          <w:rFonts w:ascii="Arial;sans-serif" w:hAnsi="Arial;sans-serif"/>
          <w:b w:val="false"/>
          <w:color w:val="000000"/>
          <w:sz w:val="20"/>
        </w:rPr>
        <w:t xml:space="preserve">The Company has adopted a Code of Business Conduct and Ethics that is intended to serve as a code of ethics for purposes of Item 406 of Regulation S-K. Its Code of Business Conduct and Ethics is posted on its website </w:t>
      </w:r>
      <w:r>
        <w:rPr>
          <w:rFonts w:ascii="Arial;sans-serif" w:hAnsi="Arial;sans-serif"/>
          <w:b w:val="false"/>
          <w:i/>
          <w:color w:val="000000"/>
          <w:sz w:val="20"/>
        </w:rPr>
        <w:t xml:space="preserve">https://investors.grail.com/ </w:t>
      </w:r>
      <w:r>
        <w:rPr>
          <w:rFonts w:ascii="Arial;sans-serif" w:hAnsi="Arial;sans-serif"/>
          <w:b w:val="false"/>
          <w:color w:val="000000"/>
          <w:sz w:val="20"/>
        </w:rPr>
        <w:t>and the Company intends to disclose on its website any amendments to, or waivers from, such code to the extent required to be disclosed pursuant to SEC or Nasdaq rules.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remaining information required by this Item will be included in the Company’s definitive proxy statement to be filed with the SEC within 120 days after December 31, 2025, in connection with the solicitation of proxies for the Company’s 2026 Annual Meeting of Shareholders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information required by this Item will be included in the 2026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83845"/>
                <wp:effectExtent l="0" t="0" r="0" b="0"/>
                <wp:wrapNone/>
                <wp:docPr id="216" name="Frame208"/>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 Documents filed as part of this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(1) Financial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Consolidated Financial Statements of GRAIL, Inc. are included in Part II, Item 8 of this Annual Report.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(2) Financial Statement Schedules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Financial statement schedules are omitted as the required information is either inapplicable or the information is presented in our Consolidated Financial Statements or notes thereto.</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Exhibits</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exhibits listed in the Exhibit Index in (b) below are filed or incorporated by reference as part of this Annual Report.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a.</w:t>
      </w:r>
      <w:r>
        <w:rPr>
          <w:rFonts w:ascii="Arial;sans-serif" w:hAnsi="Arial;sans-serif"/>
          <w:b/>
          <w:color w:val="000000"/>
          <w:sz w:val="20"/>
        </w:rPr>
        <w:t>Exhibit Index</w:t>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following documents are filed as exhibits hereto: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9"/>
        <w:gridCol w:w="279"/>
        <w:gridCol w:w="281"/>
        <w:gridCol w:w="109"/>
        <w:gridCol w:w="109"/>
        <w:gridCol w:w="109"/>
        <w:gridCol w:w="1467"/>
        <w:gridCol w:w="986"/>
        <w:gridCol w:w="990"/>
        <w:gridCol w:w="109"/>
        <w:gridCol w:w="109"/>
        <w:gridCol w:w="109"/>
        <w:gridCol w:w="200"/>
        <w:gridCol w:w="200"/>
        <w:gridCol w:w="204"/>
        <w:gridCol w:w="109"/>
        <w:gridCol w:w="109"/>
        <w:gridCol w:w="109"/>
        <w:gridCol w:w="337"/>
        <w:gridCol w:w="271"/>
        <w:gridCol w:w="168"/>
        <w:gridCol w:w="109"/>
        <w:gridCol w:w="109"/>
        <w:gridCol w:w="109"/>
        <w:gridCol w:w="230"/>
        <w:gridCol w:w="230"/>
        <w:gridCol w:w="231"/>
        <w:gridCol w:w="109"/>
        <w:gridCol w:w="109"/>
        <w:gridCol w:w="109"/>
        <w:gridCol w:w="201"/>
        <w:gridCol w:w="201"/>
        <w:gridCol w:w="202"/>
        <w:gridCol w:w="109"/>
        <w:gridCol w:w="109"/>
        <w:gridCol w:w="109"/>
        <w:gridCol w:w="361"/>
        <w:gridCol w:w="361"/>
        <w:gridCol w:w="524"/>
      </w:tblGrid>
      <w:tr>
        <w:trPr/>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8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Filed / Furnished Herewith</w:t>
            </w:r>
          </w:p>
        </w:tc>
      </w:tr>
      <w:tr>
        <w:trPr/>
        <w:tc>
          <w:tcPr>
            <w:tcW w:w="8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8"/>
                  <w:u w:val="single"/>
                </w:rPr>
                <w:t>Separation and Distribution Agreement, dated June 21, 2024, by and among Illumina, Inc. and GRAIL,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8"/>
                  <w:u w:val="single"/>
                </w:rPr>
                <w:t>Certificate of Incorporation of GRAIL, Inc., dated June 21,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18"/>
                  <w:u w:val="single"/>
                </w:rPr>
                <w:t>Amended and Restated Bylaws of GRAIL, Inc., Dated June 21,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18"/>
                  <w:u w:val="single"/>
                </w:rPr>
                <w:t>Certificate of Conversion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8"/>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8"/>
                  <w:u w:val="single"/>
                </w:rPr>
                <w:t>Form of Pre-Funded Warrant to Purchase 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80"/>
                  <w:sz w:val="18"/>
                  <w:u w:val="single"/>
                </w:rPr>
                <w:t>F</w:t>
              </w:r>
            </w:hyperlink>
            <w:hyperlink r:id="rId17">
              <w:r>
                <w:rPr>
                  <w:rStyle w:val="InternetLink"/>
                  <w:rFonts w:ascii="Arial;sans-serif" w:hAnsi="Arial;sans-serif"/>
                  <w:b w:val="false"/>
                  <w:color w:val="000080"/>
                  <w:sz w:val="18"/>
                  <w:u w:val="single"/>
                </w:rPr>
                <w:t>orm of Indenture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S-3ASR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333-291503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8"/>
                  <w:u w:val="single"/>
                </w:rPr>
                <w:t>Tax Matters Agreement between GRAIL, LLC and Illumina,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18"/>
                  <w:u w:val="single"/>
                </w:rPr>
                <w:t>Employee Matters Agreement between GRAIL, LLC and Illumina,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18"/>
                  <w:u w:val="single"/>
                </w:rPr>
                <w:t>Stockholder and Registration Rights Agreement between GRAIL, LLC and Illumina,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18"/>
                  <w:u w:val="single"/>
                </w:rPr>
                <w:t>Agreement and Plan of Merger, dated as of September 20, 2020, among Illumina, Inc., SDG Ops, Inc., SDG Ops, LLC and GRAIL,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18"/>
                  <w:u w:val="single"/>
                </w:rPr>
                <w:t>Amendment to the Agreement and Plan of Merger, dated as of September 20, 2020, among Illumina, Inc., SDG Ops, Inc., SDG Ops, LLC and GRAIL, Inc., dated as of February 4,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18"/>
                  <w:u w:val="single"/>
                </w:rPr>
                <w:t>Amended and Restated Supply and Commercialization Agreement, dated as of February 28, 2017, by and between Illumina, Inc. and GRAIL, Inc., as amended on September 27, 2017, August 18, 2021 and on May 18,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31445"/>
                <wp:effectExtent l="0" t="0" r="0" b="0"/>
                <wp:wrapNone/>
                <wp:docPr id="217" name="Frame2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9"/>
        <w:gridCol w:w="193"/>
        <w:gridCol w:w="196"/>
        <w:gridCol w:w="109"/>
        <w:gridCol w:w="109"/>
        <w:gridCol w:w="109"/>
        <w:gridCol w:w="1641"/>
        <w:gridCol w:w="1641"/>
        <w:gridCol w:w="1644"/>
        <w:gridCol w:w="109"/>
        <w:gridCol w:w="109"/>
        <w:gridCol w:w="109"/>
        <w:gridCol w:w="190"/>
        <w:gridCol w:w="190"/>
        <w:gridCol w:w="191"/>
        <w:gridCol w:w="109"/>
        <w:gridCol w:w="109"/>
        <w:gridCol w:w="109"/>
        <w:gridCol w:w="239"/>
        <w:gridCol w:w="239"/>
        <w:gridCol w:w="240"/>
        <w:gridCol w:w="109"/>
        <w:gridCol w:w="109"/>
        <w:gridCol w:w="109"/>
        <w:gridCol w:w="189"/>
        <w:gridCol w:w="189"/>
        <w:gridCol w:w="193"/>
        <w:gridCol w:w="109"/>
        <w:gridCol w:w="109"/>
        <w:gridCol w:w="109"/>
        <w:gridCol w:w="156"/>
        <w:gridCol w:w="156"/>
        <w:gridCol w:w="157"/>
        <w:gridCol w:w="109"/>
        <w:gridCol w:w="109"/>
        <w:gridCol w:w="109"/>
        <w:gridCol w:w="109"/>
        <w:gridCol w:w="109"/>
        <w:gridCol w:w="162"/>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18"/>
                  <w:u w:val="single"/>
                </w:rPr>
                <w:t>Fourth Amendment to the Amended and Restated Supply and Commercialization Agreement by and between Illumina, Inc. and GRAIL,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18"/>
                  <w:u w:val="single"/>
                </w:rPr>
                <w:t>GRAIL, Inc. 2024 Incentive Award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18"/>
                  <w:u w:val="single"/>
                </w:rPr>
                <w:t>Form Restricted Stock Unit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18"/>
                  <w:u w:val="single"/>
                </w:rPr>
                <w:t>Form of Stock Option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18"/>
                  <w:u w:val="single"/>
                </w:rPr>
                <w:t>Form of Indemnification Agreement between GRAIL, LLC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18"/>
                  <w:u w:val="single"/>
                </w:rPr>
                <w:t>GRAIL, Inc. 2024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18"/>
                  <w:u w:val="single"/>
                </w:rPr>
                <w:t>Form of Cash-Based Equity Appreciation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18"/>
                  <w:u w:val="single"/>
                </w:rPr>
                <w:t>Employment Offer Letter, between GRAIL, LLC and Robert Ragusa, dated October 14,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15transitionseparatio.htm">
              <w:r>
                <w:rPr>
                  <w:rStyle w:val="InternetLink"/>
                  <w:rFonts w:ascii="Arial;sans-serif" w:hAnsi="Arial;sans-serif"/>
                  <w:b w:val="false"/>
                  <w:color w:val="0000FF"/>
                  <w:sz w:val="18"/>
                  <w:u w:val="single"/>
                </w:rPr>
                <w:t>Transition, Separation and Release Agreement, between GRAIL, Inc. and Robert Ragusa, dated March 11,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18"/>
                  <w:u w:val="single"/>
                </w:rPr>
                <w:t>Form of Amended Offer Letter</w:t>
              </w:r>
            </w:hyperlink>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18"/>
                  <w:u w:val="single"/>
                </w:rPr>
                <w:t>License Agreement by and between The Chinese University of Hong Kong and Cirina Limited (No. TC1510005), dated as of April 7, 2016, as amended May 29, 2017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18"/>
                  <w:u w:val="single"/>
                </w:rPr>
                <w:t>License Agreement by and between The Chinese University of Hong Kong and Cirina Limited (No. TC1510006), dated as of April 7, 2016, as amended May 29, 2017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18"/>
                  <w:u w:val="single"/>
                </w:rPr>
                <w:t>License Agreement by and between The Chinese University of Hong Kong and Cirina Limited (No. TC1711655), dated as of May 29, 2017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18"/>
                  <w:u w:val="single"/>
                </w:rPr>
                <w:t>License Agreement by and between The Chinese University of Hong Kong and Cirina Limited (No. TC1711656), dated as of May 29, 2017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18"/>
                  <w:u w:val="single"/>
                </w:rPr>
                <w:t>License Agreement by and between The Chinese University of Hong Kong and Cirina Limited (No. TC1711657), dated as of May 29, 2017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18"/>
                  <w:u w:val="single"/>
                </w:rPr>
                <w:t>Lease by and between MENLO PREHC I, LLC, MENLO PREPI I, LLC, TPI Investors 9, LLC and GRAIL, Inc., dated as of May 5,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18"/>
                  <w:u w:val="single"/>
                </w:rPr>
                <w:t>First Amendment to Lease among MENLO PREHC I, LLC, MENLO PREPI I, LLC, TPI Investors 9, LLC and GRAIL, Inc., dated as of June 8, 2017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18"/>
                  <w:u w:val="single"/>
                </w:rPr>
                <w:t>Lease Agreement by and between PP Office Owner 1, L.P. and GRAIL, Inc., dated as of June 4,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10-12B/A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18"/>
                  <w:u w:val="single"/>
                </w:rPr>
                <w:t>GRAIL, Inc. Non-Employee Director Compensation Program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18"/>
                  <w:u w:val="single"/>
                </w:rPr>
                <w:t>Lease, dated September 11, 2025, by and between GRAIL, Inc. and Sunnyvale Office Acquisition,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18"/>
                  <w:u w:val="single"/>
                </w:rPr>
                <w:t>Stock Purchase Agreement, dated as of October 16, 2025, by and among GRAIL, Inc., Samsung C&amp;T Corporation, Samsung Electronics Singapore Pte., Ltd. and Samsung Electronics Co.,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18"/>
                  <w:u w:val="single"/>
                </w:rPr>
                <w:t>Securities Purchase Agreement, dated as of October 18, 2025, by and among GRAIL, Inc. and the Investors named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Arial;sans-serif" w:hAnsi="Arial;sans-serif"/>
                  <w:b w:val="false"/>
                  <w:color w:val="0000FF"/>
                  <w:sz w:val="18"/>
                  <w:u w:val="single"/>
                </w:rPr>
                <w:t>Registration Rights Agreement, dated as of October 18, 2025, by and among GRAIL, Inc. and the Investors named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31445"/>
                <wp:effectExtent l="0" t="0" r="0" b="0"/>
                <wp:wrapNone/>
                <wp:docPr id="218" name="Frame2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205</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9"/>
        <w:gridCol w:w="201"/>
        <w:gridCol w:w="203"/>
        <w:gridCol w:w="109"/>
        <w:gridCol w:w="109"/>
        <w:gridCol w:w="109"/>
        <w:gridCol w:w="1865"/>
        <w:gridCol w:w="1554"/>
        <w:gridCol w:w="1559"/>
        <w:gridCol w:w="109"/>
        <w:gridCol w:w="109"/>
        <w:gridCol w:w="109"/>
        <w:gridCol w:w="177"/>
        <w:gridCol w:w="168"/>
        <w:gridCol w:w="136"/>
        <w:gridCol w:w="109"/>
        <w:gridCol w:w="109"/>
        <w:gridCol w:w="109"/>
        <w:gridCol w:w="231"/>
        <w:gridCol w:w="231"/>
        <w:gridCol w:w="232"/>
        <w:gridCol w:w="109"/>
        <w:gridCol w:w="109"/>
        <w:gridCol w:w="109"/>
        <w:gridCol w:w="155"/>
        <w:gridCol w:w="155"/>
        <w:gridCol w:w="156"/>
        <w:gridCol w:w="109"/>
        <w:gridCol w:w="109"/>
        <w:gridCol w:w="109"/>
        <w:gridCol w:w="204"/>
        <w:gridCol w:w="204"/>
        <w:gridCol w:w="205"/>
        <w:gridCol w:w="109"/>
        <w:gridCol w:w="109"/>
        <w:gridCol w:w="109"/>
        <w:gridCol w:w="109"/>
        <w:gridCol w:w="109"/>
        <w:gridCol w:w="160"/>
      </w:tblGrid>
      <w:tr>
        <w:trPr/>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18"/>
                  <w:u w:val="single"/>
                </w:rPr>
                <w:t>Equity Distribution Agreement, dated as of November 14, 2025, by and among GRAIL, Inc., Morgan Stanley &amp; Co. LLC and TD Securities (USA)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18"/>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Arial;sans-serif" w:hAnsi="Arial;sans-serif"/>
                  <w:b w:val="false"/>
                  <w:color w:val="0000FF"/>
                  <w:sz w:val="18"/>
                  <w:u w:val="single"/>
                </w:rPr>
                <w:t>List of subsidiaries of GRAIL,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10-12B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231consentofindependent.htm">
              <w:r>
                <w:rPr>
                  <w:rStyle w:val="InternetLink"/>
                  <w:rFonts w:ascii="Arial;sans-serif" w:hAnsi="Arial;sans-serif"/>
                  <w:b w:val="false"/>
                  <w:color w:val="0000FF"/>
                  <w:sz w:val="18"/>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1ceosection302certifi.htm">
              <w:r>
                <w:rPr>
                  <w:rStyle w:val="InternetLink"/>
                  <w:rFonts w:ascii="Arial;sans-serif" w:hAnsi="Arial;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2cfosection302certifi.htm">
              <w:r>
                <w:rPr>
                  <w:rStyle w:val="InternetLink"/>
                  <w:rFonts w:ascii="Arial;sans-serif" w:hAnsi="Arial;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1ceosection906certifi.htm">
              <w:r>
                <w:rPr>
                  <w:rStyle w:val="InternetLink"/>
                  <w:rFonts w:ascii="Arial;sans-serif" w:hAnsi="Arial;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2cfosection906certifi.htm">
              <w:r>
                <w:rPr>
                  <w:rStyle w:val="InternetLink"/>
                  <w:rFonts w:ascii="Arial;sans-serif" w:hAnsi="Arial;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Arial;sans-serif" w:hAnsi="Arial;sans-serif"/>
                  <w:b w:val="false"/>
                  <w:color w:val="0000FF"/>
                  <w:sz w:val="18"/>
                  <w:u w:val="single"/>
                </w:rPr>
                <w:t>Policy for Recovery of Erroneously Awarded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001-42045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Indicates a management or compensatory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Pursuant to Item 601(b)(10) of Regulation S-K, portions of this exhibit have been omitted as the registrant has determined that the omitted information is (i) not material and (ii) the type of information that the registrant customarily and actually treats as private or confidential.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31445"/>
                <wp:effectExtent l="0" t="0" r="0" b="0"/>
                <wp:wrapNone/>
                <wp:docPr id="219" name="Frame2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206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83845"/>
                <wp:effectExtent l="0" t="0" r="0" b="0"/>
                <wp:wrapNone/>
                <wp:docPr id="220" name="Frame212"/>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68" w:before="0" w:after="0"/>
        <w:jc w:val="left"/>
        <w:rPr/>
      </w:pPr>
      <w:r>
        <w:rPr>
          <w:rFonts w:ascii="Arial;sans-serif" w:hAnsi="Arial;sans-serif"/>
          <w:b w:val="false"/>
          <w:color w:val="000000"/>
          <w:sz w:val="20"/>
        </w:rPr>
        <w:t>Pursuant to the requirements</w:t>
      </w:r>
      <w:r>
        <w:rPr>
          <w:color w:val="000000"/>
        </w:rPr>
        <w:t xml:space="preserve"> </w:t>
      </w:r>
      <w:r>
        <w:rPr>
          <w:rFonts w:ascii="Arial;sans-serif" w:hAnsi="Arial;sans-serif"/>
          <w:b w:val="false"/>
          <w:color w:val="000000"/>
          <w:sz w:val="20"/>
        </w:rPr>
        <w:t>of Section 13 or 15(d) of the Securities</w:t>
      </w:r>
      <w:r>
        <w:rPr>
          <w:color w:val="000000"/>
        </w:rPr>
        <w:t xml:space="preserve"> </w:t>
      </w:r>
      <w:r>
        <w:rPr>
          <w:rFonts w:ascii="Arial;sans-serif" w:hAnsi="Arial;sans-serif"/>
          <w:b w:val="false"/>
          <w:color w:val="000000"/>
          <w:sz w:val="20"/>
        </w:rPr>
        <w:t>Exchange Act of 1934, the registrant</w:t>
      </w:r>
      <w:r>
        <w:rPr>
          <w:color w:val="000000"/>
        </w:rPr>
        <w:t xml:space="preserve"> </w:t>
      </w:r>
      <w:r>
        <w:rPr>
          <w:rFonts w:ascii="Arial;sans-serif" w:hAnsi="Arial;sans-serif"/>
          <w:b w:val="false"/>
          <w:color w:val="000000"/>
          <w:sz w:val="20"/>
        </w:rPr>
        <w:t>has duly caused this report to be signed on its behalf</w:t>
      </w:r>
      <w:r>
        <w:rPr>
          <w:color w:val="000000"/>
        </w:rPr>
        <w:t xml:space="preserve"> </w:t>
      </w:r>
      <w:r>
        <w:rPr>
          <w:rFonts w:ascii="Arial;sans-serif" w:hAnsi="Arial;sans-serif"/>
          <w:b w:val="false"/>
          <w:color w:val="000000"/>
          <w:sz w:val="20"/>
        </w:rPr>
        <w:t>by the undersigned,</w:t>
      </w:r>
      <w:r>
        <w:rPr>
          <w:color w:val="000000"/>
        </w:rPr>
        <w:t xml:space="preserve"> </w:t>
      </w:r>
      <w:r>
        <w:rPr>
          <w:rFonts w:ascii="Arial;sans-serif" w:hAnsi="Arial;sans-serif"/>
          <w:b w:val="false"/>
          <w:color w:val="000000"/>
          <w:sz w:val="20"/>
        </w:rPr>
        <w:t>thereunto</w:t>
      </w:r>
      <w:r>
        <w:rPr>
          <w:color w:val="000000"/>
        </w:rPr>
        <w:t xml:space="preserve"> </w:t>
      </w:r>
      <w:r>
        <w:rPr>
          <w:rFonts w:ascii="Arial;sans-serif" w:hAnsi="Arial;sans-serif"/>
          <w:b w:val="false"/>
          <w:color w:val="000000"/>
          <w:sz w:val="20"/>
        </w:rPr>
        <w:t>duly authorized.</w:t>
      </w:r>
    </w:p>
    <w:tbl>
      <w:tblPr>
        <w:tblW w:w="7826" w:type="dxa"/>
        <w:jc w:val="left"/>
        <w:tblInd w:w="0" w:type="dxa"/>
        <w:tblLayout w:type="fixed"/>
        <w:tblCellMar>
          <w:top w:w="28" w:type="dxa"/>
          <w:left w:w="28" w:type="dxa"/>
          <w:bottom w:w="28" w:type="dxa"/>
          <w:right w:w="28" w:type="dxa"/>
        </w:tblCellMar>
      </w:tblPr>
      <w:tblGrid>
        <w:gridCol w:w="760"/>
        <w:gridCol w:w="668"/>
        <w:gridCol w:w="671"/>
        <w:gridCol w:w="184"/>
        <w:gridCol w:w="184"/>
        <w:gridCol w:w="184"/>
        <w:gridCol w:w="1512"/>
        <w:gridCol w:w="1512"/>
        <w:gridCol w:w="2151"/>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7" w:type="dxa"/>
            <w:gridSpan w:val="6"/>
            <w:tcBorders/>
            <w:tcMar>
              <w:top w:w="0" w:type="dxa"/>
              <w:left w:w="0" w:type="dxa"/>
              <w:bottom w:w="0" w:type="dxa"/>
              <w:right w:w="0" w:type="dxa"/>
            </w:tcMar>
            <w:vAlign w:val="center"/>
          </w:tcPr>
          <w:p>
            <w:pPr>
              <w:pStyle w:val="TableContents"/>
              <w:bidi w:val="0"/>
              <w:spacing w:lineRule="auto" w:line="240" w:before="34" w:after="283"/>
              <w:jc w:val="left"/>
              <w:rPr/>
            </w:pPr>
            <w:r>
              <w:rPr>
                <w:rFonts w:ascii="Arial;sans-serif" w:hAnsi="Arial;sans-serif"/>
                <w:b w:val="false"/>
                <w:color w:val="000000"/>
                <w:sz w:val="20"/>
              </w:rPr>
              <w:t>GRAIL,</w:t>
            </w:r>
            <w:r>
              <w:rPr>
                <w:color w:val="000000"/>
              </w:rPr>
              <w:t xml:space="preserve"> </w:t>
            </w:r>
            <w:r>
              <w:rPr>
                <w:rFonts w:ascii="Arial;sans-serif" w:hAnsi="Arial;sans-serif"/>
                <w:b w:val="false"/>
                <w:color w:val="000000"/>
                <w:sz w:val="20"/>
              </w:rPr>
              <w:t>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March 12, 2026</w:t>
            </w:r>
          </w:p>
        </w:tc>
        <w:tc>
          <w:tcPr>
            <w:tcW w:w="552"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5175"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/s/ Robert Ragusa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Name: Robert Ragusa</w:t>
            </w:r>
          </w:p>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Title: Chief Executive Officer (Principal Executive Officer)</w:t>
            </w:r>
          </w:p>
        </w:tc>
      </w:tr>
    </w:tbl>
    <w:p>
      <w:pPr>
        <w:pStyle w:val="TextBody"/>
        <w:bidi w:val="0"/>
        <w:spacing w:before="240" w:after="283"/>
        <w:jc w:val="left"/>
        <w:rPr/>
      </w:pPr>
      <w:r>
        <w:rPr/>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240" w:after="283"/>
        <w:jc w:val="left"/>
        <w:rPr/>
      </w:pPr>
      <w:r>
        <w:rPr/>
      </w:r>
    </w:p>
    <w:tbl>
      <w:tblPr>
        <w:tblW w:w="9074" w:type="dxa"/>
        <w:jc w:val="left"/>
        <w:tblInd w:w="0" w:type="dxa"/>
        <w:tblLayout w:type="fixed"/>
        <w:tblCellMar>
          <w:top w:w="28" w:type="dxa"/>
          <w:left w:w="28" w:type="dxa"/>
          <w:bottom w:w="28" w:type="dxa"/>
          <w:right w:w="28" w:type="dxa"/>
        </w:tblCellMar>
      </w:tblPr>
      <w:tblGrid>
        <w:gridCol w:w="661"/>
        <w:gridCol w:w="579"/>
        <w:gridCol w:w="590"/>
        <w:gridCol w:w="1907"/>
        <w:gridCol w:w="1907"/>
        <w:gridCol w:w="1931"/>
        <w:gridCol w:w="436"/>
        <w:gridCol w:w="436"/>
        <w:gridCol w:w="627"/>
      </w:tblGrid>
      <w:tr>
        <w:trPr/>
        <w:tc>
          <w:tcPr>
            <w:tcW w:w="6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Name</w:t>
            </w:r>
          </w:p>
        </w:tc>
        <w:tc>
          <w:tcPr>
            <w:tcW w:w="5745"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color w:val="000000"/>
                <w:sz w:val="20"/>
                <w:u w:val="single"/>
              </w:rPr>
            </w:pPr>
            <w:r>
              <w:rPr>
                <w:rFonts w:ascii="Arial;sans-serif" w:hAnsi="Arial;sans-serif"/>
                <w:b/>
                <w:color w:val="000000"/>
                <w:sz w:val="20"/>
                <w:u w:val="single"/>
              </w:rPr>
              <w:t>Title</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color w:val="000000"/>
                <w:sz w:val="20"/>
                <w:u w:val="single"/>
              </w:rPr>
            </w:pPr>
            <w:r>
              <w:rPr>
                <w:rFonts w:ascii="Arial;sans-serif" w:hAnsi="Arial;sans-serif"/>
                <w:b/>
                <w:color w:val="000000"/>
                <w:sz w:val="20"/>
                <w:u w:val="single"/>
              </w:rPr>
              <w:t>Date</w:t>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Robert Ragusa</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 and Director (Principal Executive Officer)</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Robert Ragusa</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Aaron Freidin</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Chief Financial Officer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Aaron Freidin</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William Chase</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William Chase</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Steven Mizell</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Steven Mizell</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Sarah Krevans</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Sarah Krevans</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Gregory Summe</w:t>
            </w:r>
          </w:p>
        </w:tc>
        <w:tc>
          <w:tcPr>
            <w:tcW w:w="57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Director and Chairperson of the Board</w:t>
            </w:r>
          </w:p>
        </w:tc>
        <w:tc>
          <w:tcPr>
            <w:tcW w:w="1499" w:type="dxa"/>
            <w:gridSpan w:val="3"/>
            <w:tcBorders/>
            <w:tcMar>
              <w:top w:w="0" w:type="dxa"/>
              <w:left w:w="0" w:type="dxa"/>
              <w:bottom w:w="0" w:type="dxa"/>
              <w:right w:w="0" w:type="dxa"/>
            </w:tcMar>
            <w:vAlign w:val="center"/>
          </w:tcPr>
          <w:p>
            <w:pPr>
              <w:pStyle w:val="TableContents"/>
              <w:bidi w:val="0"/>
              <w:spacing w:lineRule="auto" w:line="290" w:before="240" w:after="283"/>
              <w:jc w:val="left"/>
              <w:rPr>
                <w:rFonts w:ascii="Arial;sans-serif" w:hAnsi="Arial;sans-serif"/>
                <w:b w:val="false"/>
                <w:color w:val="000000"/>
                <w:sz w:val="20"/>
              </w:rPr>
            </w:pPr>
            <w:r>
              <w:rPr>
                <w:rFonts w:ascii="Arial;sans-serif" w:hAnsi="Arial;sans-serif"/>
                <w:b w:val="false"/>
                <w:color w:val="000000"/>
                <w:sz w:val="20"/>
              </w:rPr>
              <w:t>March 12, 2026</w:t>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Gregory Summe</w:t>
            </w:r>
          </w:p>
        </w:tc>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83845"/>
                <wp:effectExtent l="0" t="0" r="0" b="0"/>
                <wp:wrapNone/>
                <wp:docPr id="221" name="Frame213"/>
                <a:graphic xmlns:a="http://schemas.openxmlformats.org/drawingml/2006/main">
                  <a:graphicData uri="http://schemas.microsoft.com/office/word/2010/wordprocessingShape">
                    <wps:wsp>
                      <wps:cNvSpPr txBox="1"/>
                      <wps:spPr>
                        <a:xfrm>
                          <a:off x="0" y="0"/>
                          <a:ext cx="6480175" cy="28384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208</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10.15</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TRANSITION, SEPARATION AND RELEASE AGREEMENT</w:t>
      </w:r>
    </w:p>
    <w:p>
      <w:pPr>
        <w:pStyle w:val="TextBody"/>
        <w:bidi w:val="0"/>
        <w:spacing w:lineRule="auto" w:line="288" w:before="0" w:after="120"/>
        <w:ind w:left="0" w:right="0" w:firstLine="1260"/>
        <w:jc w:val="both"/>
        <w:rPr/>
      </w:pPr>
      <w:r>
        <w:rPr>
          <w:rFonts w:ascii="Times New Roman;serif" w:hAnsi="Times New Roman;serif"/>
          <w:b w:val="false"/>
          <w:color w:val="000000"/>
          <w:sz w:val="22"/>
        </w:rPr>
        <w:t>This Transition, Separation and Release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entered into by and between Robert Ragusa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 and GRAIL,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effective as of the Effective Date (as defined below). The purpose of this Agreement is to provide for the orderly transition of Executive’s duties to Executive’s successor, senior advisory support for a transition period to Executive’s successor, and full and final resolution of all matters relating to Executive’s employment with the Company and the transition and termination thereof.</w:t>
      </w:r>
    </w:p>
    <w:p>
      <w:pPr>
        <w:pStyle w:val="TextBody"/>
        <w:bidi w:val="0"/>
        <w:spacing w:lineRule="auto" w:line="288" w:before="0" w:after="120"/>
        <w:jc w:val="both"/>
        <w:rPr/>
      </w:pPr>
      <w:r>
        <w:rPr>
          <w:rFonts w:ascii="Times New Roman;serif" w:hAnsi="Times New Roman;serif"/>
          <w:b w:val="false"/>
          <w:color w:val="000000"/>
          <w:sz w:val="22"/>
        </w:rPr>
        <w:t>1.</w:t>
      </w:r>
      <w:r>
        <w:rPr>
          <w:rFonts w:ascii="Times New Roman;serif" w:hAnsi="Times New Roman;serif"/>
          <w:b/>
          <w:color w:val="000000"/>
          <w:sz w:val="22"/>
          <w:u w:val="single"/>
        </w:rPr>
        <w:t>Continued Employment, Transition</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Continued CEO Employment Period</w:t>
      </w:r>
      <w:r>
        <w:rPr>
          <w:rFonts w:ascii="Times New Roman;serif" w:hAnsi="Times New Roman;serif"/>
          <w:b w:val="false"/>
          <w:color w:val="000000"/>
          <w:sz w:val="22"/>
        </w:rPr>
        <w:t>. From the Effective Date until June 1, 2026 (the “</w:t>
      </w:r>
      <w:r>
        <w:rPr>
          <w:rFonts w:ascii="Times New Roman;serif" w:hAnsi="Times New Roman;serif"/>
          <w:b/>
          <w:i/>
          <w:color w:val="000000"/>
          <w:sz w:val="22"/>
        </w:rPr>
        <w:t>Transition Date</w:t>
      </w:r>
      <w:r>
        <w:rPr>
          <w:color w:val="000000"/>
        </w:rPr>
        <w:t xml:space="preserve">” </w:t>
      </w:r>
      <w:r>
        <w:rPr>
          <w:rFonts w:ascii="Times New Roman;serif" w:hAnsi="Times New Roman;serif"/>
          <w:b w:val="false"/>
          <w:color w:val="000000"/>
          <w:sz w:val="22"/>
        </w:rPr>
        <w:t>and such period, the “</w:t>
      </w:r>
      <w:r>
        <w:rPr>
          <w:rFonts w:ascii="Times New Roman;serif" w:hAnsi="Times New Roman;serif"/>
          <w:b/>
          <w:i/>
          <w:color w:val="000000"/>
          <w:sz w:val="22"/>
        </w:rPr>
        <w:t>Pre-Transition Period</w:t>
      </w:r>
      <w:r>
        <w:rPr>
          <w:color w:val="000000"/>
        </w:rPr>
        <w:t>”</w:t>
      </w:r>
      <w:r>
        <w:rPr>
          <w:rFonts w:ascii="Times New Roman;serif" w:hAnsi="Times New Roman;serif"/>
          <w:b w:val="false"/>
          <w:color w:val="000000"/>
          <w:sz w:val="22"/>
        </w:rPr>
        <w:t>), unless earlier terminated by Executive or the Company in accordance with the terms and conditions set forth in Executive’s offer letter with the Company, dated October 14, 2021 (the “</w:t>
      </w:r>
      <w:r>
        <w:rPr>
          <w:rFonts w:ascii="Times New Roman;serif" w:hAnsi="Times New Roman;serif"/>
          <w:b/>
          <w:i/>
          <w:color w:val="000000"/>
          <w:sz w:val="22"/>
        </w:rPr>
        <w:t>Offer Letter</w:t>
      </w:r>
      <w:r>
        <w:rPr>
          <w:color w:val="000000"/>
        </w:rPr>
        <w:t>”</w:t>
      </w:r>
      <w:r>
        <w:rPr>
          <w:rFonts w:ascii="Times New Roman;serif" w:hAnsi="Times New Roman;serif"/>
          <w:b w:val="false"/>
          <w:color w:val="000000"/>
          <w:sz w:val="22"/>
        </w:rPr>
        <w:t>), Executive shall continue in employment as the Company’s Chief Executive Officer and member of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on Executive’s existing terms and conditions of employment, as outlined in the Offer Letter.</w:t>
      </w:r>
    </w:p>
    <w:p>
      <w:pPr>
        <w:pStyle w:val="TextBody"/>
        <w:bidi w:val="0"/>
        <w:spacing w:lineRule="auto" w:line="288" w:before="0" w:after="1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Transition Period</w:t>
      </w:r>
      <w:r>
        <w:rPr>
          <w:rFonts w:ascii="Times New Roman;serif" w:hAnsi="Times New Roman;serif"/>
          <w:b w:val="false"/>
          <w:color w:val="000000"/>
          <w:sz w:val="22"/>
        </w:rPr>
        <w:t>. Effective June 1, 2026, Executive’s service in the role of Chief Executive Officer shall terminate and Executive shall resign from any officer and director roles held by Executive with the Company and its affiliates, including as a member of the Board and simultaneously transition to the employment role of Senior Executive Advisor (for clarity, without termination of employment) on the terms and conditions set forth in this Agreement. Executive shall execute such documentation and take such other actions as may be reasonably necessary to effectuate the foregoing. Executive shall continue in the role of Senior Executive Advisor from the Transition Date through March 12, 2027 (the “</w:t>
      </w:r>
      <w:r>
        <w:rPr>
          <w:rFonts w:ascii="Times New Roman;serif" w:hAnsi="Times New Roman;serif"/>
          <w:b/>
          <w:i/>
          <w:color w:val="000000"/>
          <w:sz w:val="22"/>
        </w:rPr>
        <w:t>Transition Period</w:t>
      </w:r>
      <w:r>
        <w:rPr>
          <w:color w:val="000000"/>
        </w:rPr>
        <w:t xml:space="preserve">” </w:t>
      </w:r>
      <w:r>
        <w:rPr>
          <w:rFonts w:ascii="Times New Roman;serif" w:hAnsi="Times New Roman;serif"/>
          <w:b w:val="false"/>
          <w:color w:val="000000"/>
          <w:sz w:val="22"/>
        </w:rPr>
        <w:t>and, together with the Pre-Transition Period, the “</w:t>
      </w:r>
      <w:r>
        <w:rPr>
          <w:rFonts w:ascii="Times New Roman;serif" w:hAnsi="Times New Roman;serif"/>
          <w:b/>
          <w:i/>
          <w:color w:val="000000"/>
          <w:sz w:val="22"/>
        </w:rPr>
        <w:t>Employment Period</w:t>
      </w:r>
      <w:r>
        <w:rPr>
          <w:color w:val="000000"/>
        </w:rPr>
        <w:t xml:space="preserve">” </w:t>
      </w:r>
      <w:r>
        <w:rPr>
          <w:rFonts w:ascii="Times New Roman;serif" w:hAnsi="Times New Roman;serif"/>
          <w:b w:val="false"/>
          <w:color w:val="000000"/>
          <w:sz w:val="22"/>
        </w:rPr>
        <w:t>and such date, the “</w:t>
      </w:r>
      <w:r>
        <w:rPr>
          <w:rFonts w:ascii="Times New Roman;serif" w:hAnsi="Times New Roman;serif"/>
          <w:b/>
          <w:i/>
          <w:color w:val="000000"/>
          <w:sz w:val="22"/>
        </w:rPr>
        <w:t>Transition Period End Date</w:t>
      </w:r>
      <w:r>
        <w:rPr>
          <w:color w:val="000000"/>
        </w:rPr>
        <w:t>”</w:t>
      </w:r>
      <w:r>
        <w:rPr>
          <w:rFonts w:ascii="Times New Roman;serif" w:hAnsi="Times New Roman;serif"/>
          <w:b w:val="false"/>
          <w:color w:val="000000"/>
          <w:sz w:val="22"/>
        </w:rPr>
        <w:t>), or such earlier date as either the Company or Executive may terminate Executive’s employment in accordance with the terms and conditions set forth herein (in any case, the “</w:t>
      </w:r>
      <w:r>
        <w:rPr>
          <w:rFonts w:ascii="Times New Roman;serif" w:hAnsi="Times New Roman;serif"/>
          <w:b/>
          <w:i/>
          <w:color w:val="000000"/>
          <w:sz w:val="22"/>
        </w:rPr>
        <w:t>Separation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Position; Duties</w:t>
      </w:r>
      <w:r>
        <w:rPr>
          <w:rFonts w:ascii="Times New Roman;serif" w:hAnsi="Times New Roman;serif"/>
          <w:b w:val="false"/>
          <w:color w:val="000000"/>
          <w:sz w:val="22"/>
        </w:rPr>
        <w:t xml:space="preserve">. </w:t>
      </w:r>
    </w:p>
    <w:p>
      <w:pPr>
        <w:pStyle w:val="TextBody"/>
        <w:bidi w:val="0"/>
        <w:spacing w:lineRule="auto" w:line="288" w:before="0" w:after="120"/>
        <w:ind w:left="0" w:right="0" w:firstLine="1980"/>
        <w:jc w:val="both"/>
        <w:rPr/>
      </w:pPr>
      <w:r>
        <w:rPr>
          <w:rFonts w:ascii="Times New Roman;serif" w:hAnsi="Times New Roman;serif"/>
          <w:b w:val="false"/>
          <w:color w:val="000000"/>
          <w:sz w:val="22"/>
        </w:rPr>
        <w:t>(i)</w:t>
      </w:r>
      <w:r>
        <w:rPr>
          <w:color w:val="000000"/>
        </w:rPr>
        <w:t>    </w:t>
      </w:r>
      <w:r>
        <w:rPr>
          <w:rFonts w:ascii="Times New Roman;serif" w:hAnsi="Times New Roman;serif"/>
          <w:b w:val="false"/>
          <w:i/>
          <w:color w:val="000000"/>
          <w:sz w:val="22"/>
        </w:rPr>
        <w:t>Pre-Transition Period.</w:t>
      </w:r>
      <w:r>
        <w:rPr>
          <w:color w:val="000000"/>
        </w:rPr>
        <w:t xml:space="preserve"> </w:t>
      </w:r>
      <w:r>
        <w:rPr>
          <w:rFonts w:ascii="Times New Roman;serif" w:hAnsi="Times New Roman;serif"/>
          <w:b w:val="false"/>
          <w:color w:val="000000"/>
          <w:sz w:val="22"/>
        </w:rPr>
        <w:t>During the Pre-Transition Period (or until any earlier termination of employment), Executive shall continue in his role as the Company’s Chief Executive Officer with the same duties, authority and responsibilities, including those contemplated by the Offer Letter, as in effect as of the Effective Date. During the Pre-Transition Period, Executive shall serve as a full-time executive officer and member of the Board, consistent with his employment prior to the Effective Date, and shall devote his full business time and attention to his duties and responsibilities in accordance with the Offer Letter.</w:t>
      </w:r>
    </w:p>
    <w:p>
      <w:pPr>
        <w:pStyle w:val="TextBody"/>
        <w:bidi w:val="0"/>
        <w:spacing w:lineRule="auto" w:line="288" w:before="0" w:after="120"/>
        <w:ind w:left="0" w:right="0" w:firstLine="1980"/>
        <w:jc w:val="both"/>
        <w:rPr/>
      </w:pPr>
      <w:r>
        <w:rPr>
          <w:rFonts w:ascii="Times New Roman;serif" w:hAnsi="Times New Roman;serif"/>
          <w:b w:val="false"/>
          <w:color w:val="000000"/>
          <w:sz w:val="22"/>
        </w:rPr>
        <w:t>(ii)    </w:t>
      </w:r>
      <w:r>
        <w:rPr>
          <w:rFonts w:ascii="Times New Roman;serif" w:hAnsi="Times New Roman;serif"/>
          <w:b w:val="false"/>
          <w:i/>
          <w:color w:val="000000"/>
          <w:sz w:val="22"/>
        </w:rPr>
        <w:t>Transition Period.</w:t>
      </w:r>
      <w:r>
        <w:rPr>
          <w:color w:val="000000"/>
        </w:rPr>
        <w:t xml:space="preserve"> </w:t>
      </w:r>
      <w:r>
        <w:rPr>
          <w:rFonts w:ascii="Times New Roman;serif" w:hAnsi="Times New Roman;serif"/>
          <w:b w:val="false"/>
          <w:color w:val="000000"/>
          <w:sz w:val="22"/>
        </w:rPr>
        <w:t>During the Transition Period, Executive shall have such duties and responsibilities as are assigned by the Company’s Chief Executive Officer, consistent with his position as Senior Executive Advisor with such duties and responsibilities intended to ensure a smooth transition of the Chief Executive Officer role and provide support across existing initiatives and operations under the supervision of the Company’s Chief Executive Officer, including without limitation (in each, case, unless otherwise directed by the Company’s Chief Executive Officer): (i) providing strategic counsel and continuity support, (ii) supporting preparation for earnings calls, (iii) transferring institutional knowledge, including regarding Board engagement and governance, (iv) coordinating the new Chief Executive Officer's participation in investor conferences and other external engagements, (v) transitioning and stewarding key external relationships, and (vi) advising on laboratory operations and supply chain matters (collectively, the “</w:t>
      </w:r>
      <w:r>
        <w:rPr>
          <w:rFonts w:ascii="Times New Roman;serif" w:hAnsi="Times New Roman;serif"/>
          <w:b/>
          <w:i/>
          <w:color w:val="000000"/>
          <w:sz w:val="22"/>
        </w:rPr>
        <w:t>Transition Services</w:t>
      </w:r>
      <w:r>
        <w:rPr>
          <w:color w:val="000000"/>
        </w:rPr>
        <w:t>”</w:t>
      </w:r>
      <w:r>
        <w:rPr>
          <w:rFonts w:ascii="Times New Roman;serif" w:hAnsi="Times New Roman;serif"/>
          <w:b w:val="false"/>
          <w:color w:val="000000"/>
          <w:sz w:val="22"/>
        </w:rPr>
        <w:t xml:space="preserve">). During the Transition Period,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shall devote such time and attention to the Transition Services as may be reasonably required to fully perform such Transition Services. For clarity, the scope of Executive’s role, duties and authorities may be limited during the Transition Period as determined in the sole discretion of the Company’s Chief Executive Officer, and Executive shall not undertake any duties, activities or communications unless and until expressly authorized or directed by the Company’s Chief Executive Officer. </w:t>
      </w:r>
    </w:p>
    <w:p>
      <w:pPr>
        <w:pStyle w:val="TextBody"/>
        <w:bidi w:val="0"/>
        <w:spacing w:lineRule="auto" w:line="288" w:before="0" w:after="120"/>
        <w:ind w:left="0" w:right="0" w:firstLine="1440"/>
        <w:jc w:val="both"/>
        <w:rPr/>
      </w:pPr>
      <w:r>
        <w:rPr>
          <w:rFonts w:ascii="Times New Roman;serif" w:hAnsi="Times New Roman;serif"/>
          <w:b w:val="false"/>
          <w:color w:val="000000"/>
          <w:sz w:val="22"/>
        </w:rPr>
        <w:t>(d)</w:t>
      </w:r>
      <w:r>
        <w:rPr>
          <w:rFonts w:ascii="Times New Roman;serif" w:hAnsi="Times New Roman;serif"/>
          <w:b w:val="false"/>
          <w:i/>
          <w:color w:val="000000"/>
          <w:sz w:val="22"/>
        </w:rPr>
        <w:t>Termination of Employment Agreement; Acknowledgements</w:t>
      </w:r>
      <w:r>
        <w:rPr>
          <w:rFonts w:ascii="Times New Roman;serif" w:hAnsi="Times New Roman;serif"/>
          <w:b w:val="false"/>
          <w:color w:val="000000"/>
          <w:sz w:val="22"/>
        </w:rPr>
        <w:t>. Effective as of the Transition Date, the Offer Letter shall, without further action by the Company, Executive, or any other party, terminate and cease to be of any further force or effect. For clarity, neither the termination of the Offer Letter, Executive’s transition from Chief Executive Officer to Senior Executive Advisor, the appointment of a successor Chief Executive Officer of the Company, nor any other action, term or condition contemplated by this Agreement, in any case, shall give rise to Good Reason (within the meaning of the Offer Letter) or otherwise trigger any severance or other payments under the Offer Letter or otherwise (other than any payments or benefits expressly contemplated by this Agreement).</w:t>
      </w:r>
    </w:p>
    <w:p>
      <w:pPr>
        <w:pStyle w:val="TextBody"/>
        <w:bidi w:val="0"/>
        <w:spacing w:lineRule="auto" w:line="288" w:before="0" w:after="120"/>
        <w:ind w:left="0" w:right="0" w:firstLine="540"/>
        <w:jc w:val="both"/>
        <w:rPr/>
      </w:pPr>
      <w:r>
        <w:rPr>
          <w:rFonts w:ascii="Times New Roman;serif" w:hAnsi="Times New Roman;serif"/>
          <w:b w:val="false"/>
          <w:color w:val="000000"/>
          <w:sz w:val="22"/>
        </w:rPr>
        <w:t>2.</w:t>
      </w:r>
      <w:r>
        <w:rPr>
          <w:rFonts w:ascii="Times New Roman;serif" w:hAnsi="Times New Roman;serif"/>
          <w:b/>
          <w:color w:val="000000"/>
          <w:sz w:val="22"/>
          <w:u w:val="single"/>
        </w:rPr>
        <w:t>Compensation; Benefits</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Pre-Transition Period, Executive’s base salary shall continue at the annualized rate in effect on the Effective Date. During the Transition Period, Executive will be paid an annualized base salary of $300,000. The base salary shall be paid in accordance with the Company’s normal payroll procedure as in effect from time to time, but no less often than bi-monthly.</w:t>
      </w:r>
    </w:p>
    <w:p>
      <w:pPr>
        <w:pStyle w:val="TextBody"/>
        <w:bidi w:val="0"/>
        <w:spacing w:lineRule="auto" w:line="288" w:before="0" w:after="1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Benefits</w:t>
      </w:r>
      <w:r>
        <w:rPr>
          <w:rFonts w:ascii="Times New Roman;serif" w:hAnsi="Times New Roman;serif"/>
          <w:b w:val="false"/>
          <w:color w:val="000000"/>
          <w:sz w:val="22"/>
        </w:rPr>
        <w:t xml:space="preserve">. During the Pre-Transition Period, Executive’s benefits eligibility shall continue as in effect on the Effective Date and as contemplated by the Offer Letter. During the Transition Period, Executive’s benefits eligibility shall, solely if and to the extent permitted under the applicable benefit plan or program, continue in effect on the same terms as applied during the Pre-Transition Period, </w:t>
      </w:r>
      <w:r>
        <w:rPr>
          <w:rFonts w:ascii="Times New Roman;serif" w:hAnsi="Times New Roman;serif"/>
          <w:b w:val="false"/>
          <w:i/>
          <w:color w:val="000000"/>
          <w:sz w:val="22"/>
        </w:rPr>
        <w:t>provided</w:t>
      </w:r>
      <w:r>
        <w:rPr>
          <w:rFonts w:ascii="Times New Roman;serif" w:hAnsi="Times New Roman;serif"/>
          <w:b w:val="false"/>
          <w:color w:val="000000"/>
          <w:sz w:val="22"/>
        </w:rPr>
        <w:t>, that if Executive becomes ineligible to participate as an active employee under the terms of any Company “group health plan” during the Transition Period, then, subject to Executive’s valid election to continue healthcare coverage under Section 4980B of the Code, the Company shall continue to provide Executive and Executive’s eligible dependents, through the end of the calendar month in which the Transition Period ends (the “</w:t>
      </w:r>
      <w:r>
        <w:rPr>
          <w:rFonts w:ascii="Times New Roman;serif" w:hAnsi="Times New Roman;serif"/>
          <w:b/>
          <w:i/>
          <w:color w:val="000000"/>
          <w:sz w:val="22"/>
        </w:rPr>
        <w:t>COBRA Period</w:t>
      </w:r>
      <w:r>
        <w:rPr>
          <w:color w:val="000000"/>
        </w:rPr>
        <w:t>”</w:t>
      </w:r>
      <w:r>
        <w:rPr>
          <w:rFonts w:ascii="Times New Roman;serif" w:hAnsi="Times New Roman;serif"/>
          <w:b w:val="false"/>
          <w:color w:val="000000"/>
          <w:sz w:val="22"/>
        </w:rPr>
        <w:t xml:space="preserve">), with coverage under its group health plans at the same levels and the same cost to Executive as applied immediately prior to the Effective Date (subject to adjustments applicable to active employee participants generally),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if the Company is unable to continue to cover Executive under its group health plans without incurring penalties (including without limitation, pursuant to Section 2716 of the Public Health Service Act or the Patient Protection and Affordable Care Act), jeopardizing the tax-qualified status of any plan, and/or causing all or any portion of the health benefits provided to become taxable to Executive, then, in any such case, an amount equal to each remaining Company subsidy shall thereafter be paid to Executive in substantially equal taxable monthly installments over the COBRA Period (or the remaining portion thereof) (in any event, the “</w:t>
      </w:r>
      <w:r>
        <w:rPr>
          <w:rFonts w:ascii="Times New Roman;serif" w:hAnsi="Times New Roman;serif"/>
          <w:b/>
          <w:i/>
          <w:color w:val="000000"/>
          <w:sz w:val="22"/>
        </w:rPr>
        <w:t>COBRA Payments</w:t>
      </w:r>
      <w:r>
        <w:rPr>
          <w:color w:val="000000"/>
        </w:rPr>
        <w:t>”</w:t>
      </w:r>
      <w:r>
        <w:rPr>
          <w:rFonts w:ascii="Times New Roman;serif" w:hAnsi="Times New Roman;serif"/>
          <w:b w:val="false"/>
          <w:color w:val="000000"/>
          <w:sz w:val="22"/>
        </w:rPr>
        <w:t>). For clarity, to the extent that Executive ceases to be eligible for any other benefit or perquisite plan or program during the Transition Period, the Company shall have no obligation to provide or replicate any such other benefits or perquisites.</w:t>
      </w:r>
    </w:p>
    <w:p>
      <w:pPr>
        <w:pStyle w:val="TextBody"/>
        <w:bidi w:val="0"/>
        <w:spacing w:lineRule="auto" w:line="288" w:before="0" w:after="1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Variable Compensation Plan</w:t>
      </w:r>
      <w:r>
        <w:rPr>
          <w:rFonts w:ascii="Times New Roman;serif" w:hAnsi="Times New Roman;serif"/>
          <w:b w:val="false"/>
          <w:color w:val="000000"/>
          <w:sz w:val="22"/>
        </w:rPr>
        <w:t>. Notwithstanding anything to the contrary in the Offer Letter or otherwise, subject to and conditioned upon Executive’s: (i) continued employment in good standing through the end of the Transition Period, (ii) timely execution following the Separation Date of a general release of claims substantially consistent with the provisions of Section 6 below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that becomes effective and irrevocable within thirty (30) (or to the extent required by law, sixty (60)) days following the Separation Date, and (iii) continued compliance with the terms and conditions of Sections 8 and 9 hereof, Executive shall remain eligible to earn a bonus under the Company’s Variable Compensation Plan (“</w:t>
      </w:r>
      <w:r>
        <w:rPr>
          <w:rFonts w:ascii="Times New Roman;serif" w:hAnsi="Times New Roman;serif"/>
          <w:b/>
          <w:i/>
          <w:color w:val="000000"/>
          <w:sz w:val="22"/>
        </w:rPr>
        <w:t>VCP</w:t>
      </w:r>
      <w:r>
        <w:rPr>
          <w:color w:val="000000"/>
        </w:rPr>
        <w:t>”</w:t>
      </w:r>
      <w:r>
        <w:rPr>
          <w:rFonts w:ascii="Times New Roman;serif" w:hAnsi="Times New Roman;serif"/>
          <w:b w:val="false"/>
          <w:color w:val="000000"/>
          <w:sz w:val="22"/>
        </w:rPr>
        <w:t xml:space="preserve">), determined by reference to Executive’s Pre-Transition Period base salary and target bonus and attainment of applicable performance goals, pro-rated based on the portion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calendar year 2026 elapsed through the Transition Date (the “</w:t>
      </w:r>
      <w:r>
        <w:rPr>
          <w:rFonts w:ascii="Times New Roman;serif" w:hAnsi="Times New Roman;serif"/>
          <w:b/>
          <w:i/>
          <w:color w:val="000000"/>
          <w:sz w:val="22"/>
        </w:rPr>
        <w:t>Pro-Rata VCP Bonus</w:t>
      </w:r>
      <w:r>
        <w:rPr>
          <w:color w:val="000000"/>
        </w:rPr>
        <w:t>”</w:t>
      </w:r>
      <w:r>
        <w:rPr>
          <w:rFonts w:ascii="Times New Roman;serif" w:hAnsi="Times New Roman;serif"/>
          <w:b w:val="false"/>
          <w:color w:val="000000"/>
          <w:sz w:val="22"/>
        </w:rPr>
        <w:t>). The Pro-Rata VCP Bonus shall be paid as and when bonuses under the VCP are paid to the Company’s executives generally (but for clarity, in no event no event later than May 15, 2027).</w:t>
      </w:r>
      <w:r>
        <w:rPr>
          <w:color w:val="000000"/>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Incentive Equity Awards</w:t>
      </w:r>
      <w:r>
        <w:rPr>
          <w:rFonts w:ascii="Times New Roman;serif" w:hAnsi="Times New Roman;serif"/>
          <w:b w:val="false"/>
          <w:color w:val="000000"/>
          <w:sz w:val="22"/>
        </w:rPr>
        <w:t xml:space="preserve">. Each Company incentive equity award granted to Executive that is outstanding as of the Effective Date shall remain outstanding and eligible to vest in accordance with its terms through the end of the Transition Period;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notwithstanding anything to the contrary contained in the Offer Letter, in any incentive equity award agreement or otherwise, in no event shall any accelerated vesting apply with respect to any such Company incentive equity award held by Executive in any context. </w:t>
      </w:r>
    </w:p>
    <w:p>
      <w:pPr>
        <w:pStyle w:val="TextBody"/>
        <w:bidi w:val="0"/>
        <w:spacing w:lineRule="auto" w:line="288" w:before="0" w:after="120"/>
        <w:jc w:val="both"/>
        <w:rPr/>
      </w:pPr>
      <w:r>
        <w:rPr>
          <w:rFonts w:ascii="Times New Roman;serif" w:hAnsi="Times New Roman;serif"/>
          <w:b w:val="false"/>
          <w:color w:val="000000"/>
          <w:sz w:val="22"/>
        </w:rPr>
        <w:t>3.</w:t>
      </w:r>
      <w:r>
        <w:rPr>
          <w:rFonts w:ascii="Times New Roman;serif" w:hAnsi="Times New Roman;serif"/>
          <w:b/>
          <w:color w:val="000000"/>
          <w:sz w:val="22"/>
          <w:u w:val="single"/>
        </w:rPr>
        <w:t>Termination of Employment</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Termination of Offices, Employment</w:t>
      </w:r>
      <w:r>
        <w:rPr>
          <w:rFonts w:ascii="Times New Roman;serif" w:hAnsi="Times New Roman;serif"/>
          <w:b w:val="false"/>
          <w:color w:val="000000"/>
          <w:sz w:val="22"/>
        </w:rPr>
        <w:t>. Executive’s status as an officer of the Company and member of the Board shall terminate on the Transition Date. Executive’s employment with the Company shall terminate on the Separation Date. For clarity, Executive’s employment during the Employment Period is and shall remain “at will,” meaning that either the Company or Executive may terminate Executive’s employment with the Company at any time for any lawful reason (subject, during the Pre-Transition Period only, to the terms and conditions of the Offer Letter). The Company and Executive further acknowledge and agree that the termination of Executive’s employment hereunder shall constitute a “separation from service” within the meaning of Section 409A (as defined below).</w:t>
      </w:r>
    </w:p>
    <w:p>
      <w:pPr>
        <w:pStyle w:val="TextBody"/>
        <w:bidi w:val="0"/>
        <w:spacing w:lineRule="auto" w:line="288" w:before="0" w:after="1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Accrued Obligations</w:t>
      </w:r>
      <w:r>
        <w:rPr>
          <w:rFonts w:ascii="Times New Roman;serif" w:hAnsi="Times New Roman;serif"/>
          <w:b w:val="false"/>
          <w:color w:val="000000"/>
          <w:sz w:val="22"/>
        </w:rPr>
        <w:t>. Within thirty (30) days following the Separation Date (or any earlier date as may be required by applicable law), the Company will pay to Executive (i) all accrued salary, and (ii) any unreimbursed business expenses incurred and substantiated by Executive, in each case, in accordance with Company policy prior to the Separation Date (collectively, the “</w:t>
      </w:r>
      <w:r>
        <w:rPr>
          <w:rFonts w:ascii="Times New Roman;serif" w:hAnsi="Times New Roman;serif"/>
          <w:b/>
          <w:i/>
          <w:color w:val="000000"/>
          <w:sz w:val="22"/>
        </w:rPr>
        <w:t>Accrued Obligations</w:t>
      </w:r>
      <w:r>
        <w:rPr>
          <w:color w:val="000000"/>
        </w:rPr>
        <w:t>”</w:t>
      </w:r>
      <w:r>
        <w:rPr>
          <w:rFonts w:ascii="Times New Roman;serif" w:hAnsi="Times New Roman;serif"/>
          <w:b w:val="false"/>
          <w:color w:val="000000"/>
          <w:sz w:val="22"/>
        </w:rPr>
        <w:t>).</w:t>
      </w:r>
    </w:p>
    <w:p>
      <w:pPr>
        <w:pStyle w:val="TextBody"/>
        <w:bidi w:val="0"/>
        <w:spacing w:lineRule="auto" w:line="288" w:before="0" w:after="1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without Cause</w:t>
      </w:r>
      <w:r>
        <w:rPr>
          <w:rFonts w:ascii="Times New Roman;serif" w:hAnsi="Times New Roman;serif"/>
          <w:b w:val="false"/>
          <w:color w:val="000000"/>
          <w:sz w:val="22"/>
        </w:rPr>
        <w:t>. If the Separation Date occurs prior to the Transition Period End Date by reason of the Company’s termination of Executive’s employment without Cause (as defined in the Offer Letter), then, subject to and conditioned upon Executive’s (i) timely execution following the Separation Date of a Release that becomes effective and irrevocable within thirty (30) (or to the extent required by law, sixty (60)) days following the Separation Date, and (ii) continued compliance with the terms and conditions of Sections 8 and 9 hereof:</w:t>
      </w:r>
    </w:p>
    <w:p>
      <w:pPr>
        <w:pStyle w:val="TextBody"/>
        <w:bidi w:val="0"/>
        <w:spacing w:lineRule="auto" w:line="288" w:before="0" w:after="120"/>
        <w:ind w:left="0" w:right="0" w:hanging="477"/>
        <w:jc w:val="both"/>
        <w:rPr>
          <w:rFonts w:ascii="Times New Roman;serif" w:hAnsi="Times New Roman;serif"/>
          <w:b w:val="false"/>
          <w:color w:val="000000"/>
          <w:sz w:val="22"/>
        </w:rPr>
      </w:pPr>
      <w:r>
        <w:rPr>
          <w:rFonts w:ascii="Times New Roman;serif" w:hAnsi="Times New Roman;serif"/>
          <w:b w:val="false"/>
          <w:color w:val="000000"/>
          <w:sz w:val="22"/>
        </w:rPr>
        <w:t>(i)The Company shall pay to Executive the Base Salary that would have been payable during the remainder of the Transition Period had the Employment Period ended on the Transition Period End Date, in accordance with the payment timing set forth in Section 2(a).</w:t>
      </w:r>
    </w:p>
    <w:p>
      <w:pPr>
        <w:pStyle w:val="TextBody"/>
        <w:bidi w:val="0"/>
        <w:spacing w:lineRule="auto" w:line="288" w:before="0" w:after="120"/>
        <w:ind w:left="0" w:right="0" w:hanging="538"/>
        <w:jc w:val="both"/>
        <w:rPr>
          <w:rFonts w:ascii="Times New Roman;serif" w:hAnsi="Times New Roman;serif"/>
          <w:b w:val="false"/>
          <w:color w:val="000000"/>
          <w:sz w:val="22"/>
        </w:rPr>
      </w:pPr>
      <w:r>
        <w:rPr>
          <w:rFonts w:ascii="Times New Roman;serif" w:hAnsi="Times New Roman;serif"/>
          <w:b w:val="false"/>
          <w:color w:val="000000"/>
          <w:sz w:val="22"/>
        </w:rPr>
        <w:t>(ii)The COBRA Payments shall continue for the remainder of the COBRA Period as though the Employment Period had ended on the Transition Period End Date.</w:t>
      </w:r>
    </w:p>
    <w:p>
      <w:pPr>
        <w:pStyle w:val="TextBody"/>
        <w:bidi w:val="0"/>
        <w:spacing w:lineRule="auto" w:line="288" w:before="0" w:after="120"/>
        <w:ind w:left="0" w:right="0" w:hanging="599"/>
        <w:jc w:val="both"/>
        <w:rPr/>
      </w:pPr>
      <w:r>
        <w:rPr>
          <w:rFonts w:ascii="Times New Roman;serif" w:hAnsi="Times New Roman;serif"/>
          <w:b w:val="false"/>
          <w:color w:val="000000"/>
          <w:sz w:val="22"/>
        </w:rPr>
        <w:t>(iii)The Company shall pay to Executive the Pro-Rata VCP Bonus upon the later to occur of (i) the date on which bonuses under the VCP are paid to the Company’s executives generally or (ii) the first regularly scheduled payment date to occur following the date on which the Release becomes effective and irrevocable (but in no event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calendar year following the calendar year in which the Separation Date occurs). </w:t>
      </w:r>
    </w:p>
    <w:p>
      <w:pPr>
        <w:pStyle w:val="TextBody"/>
        <w:bidi w:val="0"/>
        <w:spacing w:lineRule="auto" w:line="288" w:before="0" w:after="120"/>
        <w:ind w:left="0" w:right="0" w:hanging="587"/>
        <w:jc w:val="both"/>
        <w:rPr>
          <w:rFonts w:ascii="Times New Roman;serif" w:hAnsi="Times New Roman;serif"/>
          <w:b w:val="false"/>
          <w:color w:val="000000"/>
          <w:sz w:val="22"/>
        </w:rPr>
      </w:pPr>
      <w:r>
        <w:rPr>
          <w:rFonts w:ascii="Times New Roman;serif" w:hAnsi="Times New Roman;serif"/>
          <w:b w:val="false"/>
          <w:color w:val="000000"/>
          <w:sz w:val="22"/>
        </w:rPr>
        <w:t xml:space="preserve">(iv)Any Company equity awards held by Executive shall become vested (and, as applicable, exercisable) on an accelerated basis as of the Separation Date with respect to the number of shares subject to such Company equity award that </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would have vested had Executive’s employment continued through the Transition Period End Date.</w:t>
      </w:r>
    </w:p>
    <w:p>
      <w:pPr>
        <w:pStyle w:val="TextBody"/>
        <w:bidi w:val="0"/>
        <w:spacing w:lineRule="auto" w:line="288" w:before="0" w:after="12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Incentive Equity Awards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Each Company equity award held by Executive as of the Separation Date shall, to the extent then unvested (after taking into consideration the accelerated vesting described in </w:t>
      </w:r>
      <w:r>
        <w:rPr>
          <w:rFonts w:ascii="Times New Roman;serif" w:hAnsi="Times New Roman;serif"/>
          <w:b w:val="false"/>
          <w:color w:val="000000"/>
          <w:sz w:val="22"/>
          <w:u w:val="single"/>
        </w:rPr>
        <w:t>Section 3(c)</w:t>
      </w:r>
      <w:r>
        <w:rPr>
          <w:color w:val="000000"/>
        </w:rPr>
        <w:t xml:space="preserve"> </w:t>
      </w:r>
      <w:r>
        <w:rPr>
          <w:rFonts w:ascii="Times New Roman;serif" w:hAnsi="Times New Roman;serif"/>
          <w:b w:val="false"/>
          <w:color w:val="000000"/>
          <w:sz w:val="22"/>
        </w:rPr>
        <w:t xml:space="preserve">above, if applicable), lapse and be forfeited without payment therefor. </w:t>
      </w:r>
    </w:p>
    <w:p>
      <w:pPr>
        <w:pStyle w:val="TextBody"/>
        <w:bidi w:val="0"/>
        <w:spacing w:lineRule="auto" w:line="288" w:before="0" w:after="12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Return of Company Property</w:t>
      </w:r>
      <w:r>
        <w:rPr>
          <w:rFonts w:ascii="Times New Roman;serif" w:hAnsi="Times New Roman;serif"/>
          <w:b w:val="false"/>
          <w:color w:val="000000"/>
          <w:sz w:val="22"/>
        </w:rPr>
        <w:t>. Executive represents and warrants he shall, prior to the Separation Date, return to the Company any and all property and equipment of the Company, including (i) all keys, files, lists, books and records (and copies thereof) of, or in connection with, the Company’s business, equipment (including, but not limited to, computer hardware, software and printers, wireless handheld devices, cellular phones and pagers), access or credit cards, Company identification, and all other property belonging to the Company in Executive’s possession or control, and (ii) all documents and copies, including hard and electronic copies, of documents in Executive’s possession relating to any Confidential Information (as defined below), including without limitation, internal and external business forms, manuals, correspondence, notes and computer programs, and that Executive shall not make or retain any copy or extract of any of the foregoing; provided, however, that Executive may retain Executive’s telephone and address book and copies of Executive’s own personnel, payroll and benefit documents (provided that such documents do not contain any Confidential Information and that the Company has the prior opportunity to review, redact and/or retain any such documents containing Confidential Information).</w:t>
      </w:r>
      <w:r>
        <w:rPr>
          <w:color w:val="000000"/>
        </w:rPr>
        <w:t xml:space="preserve"> </w:t>
      </w:r>
    </w:p>
    <w:p>
      <w:pPr>
        <w:pStyle w:val="TextBody"/>
        <w:bidi w:val="0"/>
        <w:spacing w:lineRule="auto" w:line="288" w:before="0" w:after="120"/>
        <w:ind w:left="0" w:right="0" w:firstLine="720"/>
        <w:jc w:val="both"/>
        <w:rPr/>
      </w:pPr>
      <w:r>
        <w:rPr>
          <w:rFonts w:ascii="Times New Roman;serif" w:hAnsi="Times New Roman;serif"/>
          <w:b w:val="false"/>
          <w:color w:val="000000"/>
          <w:sz w:val="22"/>
        </w:rPr>
        <w:t>4.    </w:t>
      </w:r>
      <w:r>
        <w:rPr>
          <w:rFonts w:ascii="Times New Roman;serif" w:hAnsi="Times New Roman;serif"/>
          <w:b/>
          <w:color w:val="000000"/>
          <w:sz w:val="22"/>
          <w:u w:val="single"/>
        </w:rPr>
        <w:t>Tax Withholding and Other Deductions</w:t>
      </w:r>
      <w:r>
        <w:rPr>
          <w:rFonts w:ascii="Times New Roman;serif" w:hAnsi="Times New Roman;serif"/>
          <w:b w:val="false"/>
          <w:color w:val="000000"/>
          <w:sz w:val="22"/>
        </w:rPr>
        <w:t>. All compensation payable to Executive hereunder shall be subject to all required tax withholding and deductions, and the Company is hereby authorized to withhold and deduct such amounts from all payments hereunder.</w:t>
      </w:r>
    </w:p>
    <w:p>
      <w:pPr>
        <w:pStyle w:val="TextBody"/>
        <w:bidi w:val="0"/>
        <w:spacing w:lineRule="auto" w:line="288" w:before="0" w:after="120"/>
        <w:ind w:left="0" w:right="0" w:firstLine="720"/>
        <w:jc w:val="both"/>
        <w:rPr/>
      </w:pPr>
      <w:r>
        <w:rPr>
          <w:rFonts w:ascii="Times New Roman;serif" w:hAnsi="Times New Roman;serif"/>
          <w:b w:val="false"/>
          <w:color w:val="000000"/>
          <w:sz w:val="22"/>
        </w:rPr>
        <w:t>5.    </w:t>
      </w:r>
      <w:r>
        <w:rPr>
          <w:rFonts w:ascii="Times New Roman;serif" w:hAnsi="Times New Roman;serif"/>
          <w:b/>
          <w:color w:val="000000"/>
          <w:sz w:val="22"/>
          <w:u w:val="single"/>
        </w:rPr>
        <w:t>Certain Acknowledgments</w:t>
      </w:r>
      <w:r>
        <w:rPr>
          <w:rFonts w:ascii="Times New Roman;serif" w:hAnsi="Times New Roman;serif"/>
          <w:b w:val="false"/>
          <w:color w:val="000000"/>
          <w:sz w:val="22"/>
        </w:rPr>
        <w:t>. Executive acknowledges that, upon receipt of the Accrued Obligations (and subject to payment of Executive’s pro-rated 2026 VCP award if earned, as provided above), Executive will have received all monies and other benefits due to Executive in connection with his employment with and separation from the Company, and that Executive shall have no right, title, or interest in or entitlement to any other payments or benefits in connection therewith, other than as expressly set forth in this Agreement. Executive further represents that he has not sustained a work-related injury or illness that he has not previously reported to the Company.</w:t>
      </w:r>
    </w:p>
    <w:p>
      <w:pPr>
        <w:pStyle w:val="TextBody"/>
        <w:bidi w:val="0"/>
        <w:spacing w:lineRule="auto" w:line="288" w:before="0" w:after="120"/>
        <w:ind w:left="0" w:right="0" w:firstLine="720"/>
        <w:jc w:val="both"/>
        <w:rPr/>
      </w:pPr>
      <w:r>
        <w:rPr>
          <w:rFonts w:ascii="Times New Roman;serif" w:hAnsi="Times New Roman;serif"/>
          <w:b w:val="false"/>
          <w:color w:val="000000"/>
          <w:sz w:val="22"/>
        </w:rPr>
        <w:t>6.    </w:t>
      </w:r>
      <w:r>
        <w:rPr>
          <w:rFonts w:ascii="Times New Roman;serif" w:hAnsi="Times New Roman;serif"/>
          <w:b/>
          <w:color w:val="000000"/>
          <w:sz w:val="22"/>
          <w:u w:val="single"/>
        </w:rPr>
        <w:t>Release of Known and Unknown Claims</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 Release</w:t>
      </w:r>
      <w:r>
        <w:rPr>
          <w:rFonts w:ascii="Times New Roman;serif" w:hAnsi="Times New Roman;serif"/>
          <w:b w:val="false"/>
          <w:color w:val="000000"/>
          <w:sz w:val="22"/>
        </w:rPr>
        <w:t>. In exchange for the consideration set forth in this Agreement, and for other good and valuable consideration, the receipt and adequacy of which are hereby acknowledged, Executive agrees unconditionally and forever to release and discharge the Company and the Company’s affiliated, related, parent and subsidiary corporations, as well as their respective past and present parents, subsidiaries, affiliates, associates, members, stockholders, employee benefit plans, attorneys, agents, representatives, partners, joint venturers, predecessors, successors, assigns, insurers, owners, employees, officers, directors and all persons acting by, through, under, or in concert with them, or any of them (hereinafter the “</w:t>
      </w:r>
      <w:r>
        <w:rPr>
          <w:rFonts w:ascii="Times New Roman;serif" w:hAnsi="Times New Roman;serif"/>
          <w:b/>
          <w:i/>
          <w:color w:val="000000"/>
          <w:sz w:val="22"/>
        </w:rPr>
        <w:t>Releasees</w:t>
      </w:r>
      <w:r>
        <w:rPr>
          <w:color w:val="000000"/>
        </w:rPr>
        <w:t>”</w:t>
      </w:r>
      <w:r>
        <w:rPr>
          <w:rFonts w:ascii="Times New Roman;serif" w:hAnsi="Times New Roman;serif"/>
          <w:b w:val="false"/>
          <w:color w:val="000000"/>
          <w:sz w:val="22"/>
        </w:rPr>
        <w:t>) from any and all manner of claims, actions, causes of action, in law or in equity, demands, rights, or damages of any kind or nature which he may now have, or ever have, whether known or unknown, fixed or contingent, including any claims, causes of action or demands of any nature (hereinafter called “</w:t>
      </w:r>
      <w:r>
        <w:rPr>
          <w:rFonts w:ascii="Times New Roman;serif" w:hAnsi="Times New Roman;serif"/>
          <w:b/>
          <w:i/>
          <w:color w:val="000000"/>
          <w:sz w:val="22"/>
        </w:rPr>
        <w:t>Claims</w:t>
      </w:r>
      <w:r>
        <w:rPr>
          <w:color w:val="000000"/>
        </w:rPr>
        <w:t>”</w:t>
      </w:r>
      <w:r>
        <w:rPr>
          <w:rFonts w:ascii="Times New Roman;serif" w:hAnsi="Times New Roman;serif"/>
          <w:b w:val="false"/>
          <w:color w:val="000000"/>
          <w:sz w:val="22"/>
        </w:rPr>
        <w:t xml:space="preserve">), that Executive now has or may hereafter have against the Releasees by reason of any and all acts, omissions, events or facts occurring or existing prior to Executive’s execution of this Agreement. The Claims released hereunder specifically include, but are not limited to, any claims for fraud; breach of contract; breach of implied covenant of good faith and fair dealing; inducement of breach; interference with contract; wrongful or unlawful discharge or demotion; violation of public policy; sexual or any other type of assault and battery; invasion of privacy; intentional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or negligent infliction of emotional distress; intentional or negligent misrepresentation; conspiracy; failure to pay wages, benefits, vacation pay, severance pay, commissions, equity, attorneys’ fees, or other compensation of any sort; failure to accommodate disability, including pregnancy; discrimination or harassment on the basis of pregnancy, race, color, sex, gender, national origin, ancestry, religion, disability, handicap, medical condition, marital status, sexual orientation, age or any other protected category; any claim under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Age Discrimination in Employment Act (as amended, the “</w:t>
      </w:r>
      <w:r>
        <w:rPr>
          <w:rFonts w:ascii="Times New Roman;serif" w:hAnsi="Times New Roman;serif"/>
          <w:b/>
          <w:i/>
          <w:color w:val="000000"/>
          <w:sz w:val="22"/>
        </w:rPr>
        <w:t>ADEA</w:t>
      </w:r>
      <w:r>
        <w:rPr>
          <w:color w:val="000000"/>
        </w:rPr>
        <w:t>”</w:t>
      </w:r>
      <w:r>
        <w:rPr>
          <w:rFonts w:ascii="Times New Roman;serif" w:hAnsi="Times New Roman;serif"/>
          <w:b w:val="false"/>
          <w:color w:val="000000"/>
          <w:sz w:val="22"/>
        </w:rPr>
        <w:t>); Older Workers Benefit Protection Act; the Executive Retirement Income Security Act, as amended, 29 U.S.C. § 1001 et seq.; the Worker Adjustment and Retraining Notification Act (“</w:t>
      </w:r>
      <w:r>
        <w:rPr>
          <w:rFonts w:ascii="Times New Roman;serif" w:hAnsi="Times New Roman;serif"/>
          <w:b/>
          <w:i/>
          <w:color w:val="000000"/>
          <w:sz w:val="22"/>
        </w:rPr>
        <w:t>WARN</w:t>
      </w:r>
      <w:r>
        <w:rPr>
          <w:color w:val="000000"/>
        </w:rPr>
        <w:t>”</w:t>
      </w:r>
      <w:r>
        <w:rPr>
          <w:rFonts w:ascii="Times New Roman;serif" w:hAnsi="Times New Roman;serif"/>
          <w:b w:val="false"/>
          <w:color w:val="000000"/>
          <w:sz w:val="22"/>
        </w:rPr>
        <w:t xml:space="preserve">), as amended, 29 U.S.C. § 2101 et seq.; the Fair Labor Standards Act, 29 U.S.C. § 215 et seq.; the California Fair Employment and Housing Act, as amended, Cal. Lab. Code § 12940 et seq.; the California Equal Pay Law, as amended, Cal. Lab. Code §§ 1197.5(a),1199.5; the Moore-Brown-Roberti Family Rights Act of 1991, as amended, Cal. Gov’t Code §§12945.2, 19702.3; the California WARN Act, Cal. Lab. Code § 1400 et seq.; the California False Claims Act, Cal. Gov’t Code § 12650 et seq.; the California Corporate Criminal Liability Act, Cal. Penal Code § 387; the California Labor Code; and any federal, state or local laws of similar effect. </w:t>
      </w:r>
    </w:p>
    <w:p>
      <w:pPr>
        <w:pStyle w:val="TextBody"/>
        <w:bidi w:val="0"/>
        <w:spacing w:lineRule="auto" w:line="288" w:before="0" w:after="12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Claims Not Released</w:t>
      </w:r>
      <w:r>
        <w:rPr>
          <w:rFonts w:ascii="Times New Roman;serif" w:hAnsi="Times New Roman;serif"/>
          <w:b w:val="false"/>
          <w:color w:val="000000"/>
          <w:sz w:val="22"/>
        </w:rPr>
        <w:t>. This release shall not apply to: the Company’s obligations to provide any compensation, benefits and continued incentive equity award vesting during the Employment Period as set forth in this Agreement; Executive’s right to indemnification under any applicable indemnification agreement with the Company, including, but not limited to, pursuant to any Side A Difference-in-Conditions policy that the Company may elect to maintain from time to time, as applicable; the Company’s governing documents or applicable law; Executive’s right to assert claims for workers’ compensation or unemployment benefits; Executive’s right to bring to the attention of the Equal Employment Opportunity Commission or similar state or local human rights agency (“</w:t>
      </w:r>
      <w:r>
        <w:rPr>
          <w:rFonts w:ascii="Times New Roman;serif" w:hAnsi="Times New Roman;serif"/>
          <w:b/>
          <w:i/>
          <w:color w:val="000000"/>
          <w:sz w:val="22"/>
        </w:rPr>
        <w:t>EEOC</w:t>
      </w:r>
      <w:r>
        <w:rPr>
          <w:color w:val="000000"/>
        </w:rPr>
        <w:t>”</w:t>
      </w:r>
      <w:r>
        <w:rPr>
          <w:rFonts w:ascii="Times New Roman;serif" w:hAnsi="Times New Roman;serif"/>
          <w:b w:val="false"/>
          <w:color w:val="000000"/>
          <w:sz w:val="22"/>
        </w:rPr>
        <w:t>) claims of discrimination, harassment, or retaliation (</w:t>
      </w:r>
      <w:r>
        <w:rPr>
          <w:rFonts w:ascii="Times New Roman;serif" w:hAnsi="Times New Roman;serif"/>
          <w:b w:val="false"/>
          <w:i/>
          <w:color w:val="000000"/>
          <w:sz w:val="22"/>
        </w:rPr>
        <w:t>provided</w:t>
      </w:r>
      <w:r>
        <w:rPr>
          <w:rFonts w:ascii="Times New Roman;serif" w:hAnsi="Times New Roman;serif"/>
          <w:b w:val="false"/>
          <w:color w:val="000000"/>
          <w:sz w:val="22"/>
        </w:rPr>
        <w:t>, that Executive releases his right to secure any damages for any such alleged conduct); any right to communicate directly with, cooperate with, or provide information to, any federal, state or local Government Agencies (as defined below); any right to file an unfair labor practice charge under the National Labor Relations Act (“</w:t>
      </w:r>
      <w:r>
        <w:rPr>
          <w:rFonts w:ascii="Times New Roman;serif" w:hAnsi="Times New Roman;serif"/>
          <w:b/>
          <w:i/>
          <w:color w:val="000000"/>
          <w:sz w:val="22"/>
        </w:rPr>
        <w:t>NLRA</w:t>
      </w:r>
      <w:r>
        <w:rPr>
          <w:color w:val="000000"/>
        </w:rPr>
        <w:t>”</w:t>
      </w:r>
      <w:r>
        <w:rPr>
          <w:rFonts w:ascii="Times New Roman;serif" w:hAnsi="Times New Roman;serif"/>
          <w:b w:val="false"/>
          <w:color w:val="000000"/>
          <w:sz w:val="22"/>
        </w:rPr>
        <w:t xml:space="preserve">); Executive’s vested rights under any retirement or welfare benefit plan of the Company; Executive’s rights in his capacity as an equityholder of the Company; or any other rights that may not be waived by an Executive under applicable law. </w:t>
      </w:r>
    </w:p>
    <w:p>
      <w:pPr>
        <w:pStyle w:val="TextBody"/>
        <w:bidi w:val="0"/>
        <w:spacing w:lineRule="auto" w:line="288" w:before="0" w:after="12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Unknown Claims</w:t>
      </w:r>
      <w:r>
        <w:rPr>
          <w:rFonts w:ascii="Times New Roman;serif" w:hAnsi="Times New Roman;serif"/>
          <w:b w:val="false"/>
          <w:color w:val="000000"/>
          <w:sz w:val="22"/>
        </w:rPr>
        <w:t>. Executive acknowledges that Executive has been advised of and is familiar with the provisions of California Civil Code Section 1542, which provides as follows:</w:t>
      </w:r>
    </w:p>
    <w:p>
      <w:pPr>
        <w:pStyle w:val="TextBody"/>
        <w:bidi w:val="0"/>
        <w:spacing w:lineRule="auto" w:line="288" w:before="0" w:after="120"/>
        <w:ind w:left="0" w:right="0" w:firstLine="1440"/>
        <w:jc w:val="both"/>
        <w:rPr>
          <w:color w:val="000000"/>
        </w:rPr>
      </w:pPr>
      <w:r>
        <w:rPr>
          <w:color w:val="000000"/>
        </w:rPr>
        <w:t>“</w:t>
      </w:r>
      <w:r>
        <w:rPr>
          <w:rFonts w:ascii="Times New Roman;serif" w:hAnsi="Times New Roman;serif"/>
          <w:b w:val="false"/>
          <w:color w:val="000000"/>
          <w:sz w:val="22"/>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Executive, being aware of said Code Section, hereby expressly waives any rights he may have thereunder, as well as under any other statutes or common law principles of similar effect.</w:t>
      </w:r>
    </w:p>
    <w:p>
      <w:pPr>
        <w:pStyle w:val="TextBody"/>
        <w:bidi w:val="0"/>
        <w:spacing w:lineRule="auto" w:line="288" w:before="0" w:after="12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ADEA Release</w:t>
      </w:r>
      <w:r>
        <w:rPr>
          <w:rFonts w:ascii="Times New Roman;serif" w:hAnsi="Times New Roman;serif"/>
          <w:b w:val="false"/>
          <w:color w:val="000000"/>
          <w:sz w:val="22"/>
        </w:rPr>
        <w:t>. Executive acknowledges that he is releasing any claims he may have under the ADEA (as defined above). To accept this Agreement, Executive must execute this Agreement no later than the date that is twenty-one (21) days after receipt (the “</w:t>
      </w:r>
      <w:r>
        <w:rPr>
          <w:rFonts w:ascii="Times New Roman;serif" w:hAnsi="Times New Roman;serif"/>
          <w:b/>
          <w:i/>
          <w:color w:val="000000"/>
          <w:sz w:val="22"/>
        </w:rPr>
        <w:t>Review Period</w:t>
      </w:r>
      <w:r>
        <w:rPr>
          <w:color w:val="000000"/>
        </w:rPr>
        <w:t>”</w:t>
      </w:r>
      <w:r>
        <w:rPr>
          <w:rFonts w:ascii="Times New Roman;serif" w:hAnsi="Times New Roman;serif"/>
          <w:b w:val="false"/>
          <w:color w:val="000000"/>
          <w:sz w:val="22"/>
        </w:rPr>
        <w:t xml:space="preserve">). Executive agrees that the Review Period shall not be extended due to changes to this Agreement, whether material or not. The Company hereby advises Executive to consult with an attorney prior to signing this </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Agreement. After Executive signs this Agreement, Executive has up to seven (7) days to revoke the Agreement (such seven (7) day period, the “</w:t>
      </w:r>
      <w:r>
        <w:rPr>
          <w:rFonts w:ascii="Times New Roman;serif" w:hAnsi="Times New Roman;serif"/>
          <w:b/>
          <w:i/>
          <w:color w:val="000000"/>
          <w:sz w:val="22"/>
        </w:rPr>
        <w:t>Revocation Period</w:t>
      </w:r>
      <w:r>
        <w:rPr>
          <w:color w:val="000000"/>
        </w:rPr>
        <w:t>”</w:t>
      </w:r>
      <w:r>
        <w:rPr>
          <w:rFonts w:ascii="Times New Roman;serif" w:hAnsi="Times New Roman;serif"/>
          <w:b w:val="false"/>
          <w:color w:val="000000"/>
          <w:sz w:val="22"/>
        </w:rPr>
        <w:t>). In order to effectively revoke this Agreement, Executive must send written notice of the decision to do so to the Company, to the attention of Abram Barth, General Counsel, at abarth@grailbio.com, and such written notice must be received by the Company prior to the expiration of the Revocation Period. If Executive fails to return his executed Agreement to the Company by the last day of the Review Period or if Executive timely revokes this Agreement, this Agreement shall be null and void and of no effect. If Executive timely returns his executed Agreement to the Company and the Revocation Period expires without revocation, this Agreement shall become effective, irrevocable, and enforceable on the eighth (8th) day after Executive executes this Agreement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w:t>
      </w:r>
    </w:p>
    <w:p>
      <w:pPr>
        <w:pStyle w:val="TextBody"/>
        <w:bidi w:val="0"/>
        <w:spacing w:lineRule="auto" w:line="288" w:before="0" w:after="12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Representations</w:t>
      </w:r>
      <w:r>
        <w:rPr>
          <w:rFonts w:ascii="Times New Roman;serif" w:hAnsi="Times New Roman;serif"/>
          <w:b w:val="false"/>
          <w:color w:val="000000"/>
          <w:sz w:val="22"/>
        </w:rPr>
        <w:t xml:space="preserve">. Executive represents and warrants that there has been no assignment or other transfer of any interest in any Claim which he may have against Releasees, or any of them, and Executive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Executive under this indemnity. Executive agrees that if he hereafter commences any suit arising out of, based upon, or relating to any of the Claims released hereunder or in any manner asserts against Releasees, or any of them, any of the Claims released hereunder, then Executive agrees to pay to Releasees, and each of them, in addition to any other damages caused to Releasees thereby, all attorneys’ fees incurred by Releasees in defending or otherwise responding to said suit or Claim. </w:t>
      </w:r>
    </w:p>
    <w:p>
      <w:pPr>
        <w:pStyle w:val="TextBody"/>
        <w:bidi w:val="0"/>
        <w:spacing w:lineRule="auto" w:line="288" w:before="0" w:after="12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No Actions</w:t>
      </w:r>
      <w:r>
        <w:rPr>
          <w:rFonts w:ascii="Times New Roman;serif" w:hAnsi="Times New Roman;serif"/>
          <w:b w:val="false"/>
          <w:color w:val="000000"/>
          <w:sz w:val="22"/>
        </w:rPr>
        <w:t xml:space="preserve">. Executive represents and warrants to the Company that Executive has no pending actions, Claims or charges of any kind against any Releasee. Executive agrees that if Executive hereafter commences, joins in, or in any manner seeks relief through any suit arising out of, based upon, or relating to any of the Claims released hereunder or in any manner asserts against the Releasees any of the Claims released hereunder, then Executive will pay to the Releasees against whom such Claim(s) is asserted, in addition to any other damages caused thereby, all attorneys’ fees incurred by such Releasees in defending or otherwise responding to said suit or Claim;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Executive shall not be obligated to pay the Releasees’ attorneys’ fees to the extent such fees are attributable to Executive’s right to file a charge with the EEOC, but as stated above, Executive hereby waives any right to any damages or individual relief resulting from any such charge.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No Admission</w:t>
      </w:r>
      <w:r>
        <w:rPr>
          <w:rFonts w:ascii="Times New Roman;serif" w:hAnsi="Times New Roman;serif"/>
          <w:b w:val="false"/>
          <w:color w:val="000000"/>
          <w:sz w:val="22"/>
        </w:rPr>
        <w:t xml:space="preserve">. Executive understands and agrees that neither the payment of money nor the execution of this Agreement shall constitute or be construed as an admission of any liability whatsoever by the Releasees. </w:t>
      </w:r>
    </w:p>
    <w:p>
      <w:pPr>
        <w:pStyle w:val="TextBody"/>
        <w:bidi w:val="0"/>
        <w:spacing w:lineRule="auto" w:line="288" w:before="0" w:after="120"/>
        <w:ind w:left="0" w:right="0" w:firstLine="1260"/>
        <w:jc w:val="both"/>
        <w:rPr/>
      </w:pPr>
      <w:r>
        <w:rPr>
          <w:rFonts w:ascii="Times New Roman;serif" w:hAnsi="Times New Roman;serif"/>
          <w:b w:val="false"/>
          <w:color w:val="000000"/>
          <w:sz w:val="22"/>
        </w:rPr>
        <w:t xml:space="preserve">7. </w:t>
      </w:r>
      <w:r>
        <w:rPr>
          <w:rFonts w:ascii="Times New Roman;serif" w:hAnsi="Times New Roman;serif"/>
          <w:b/>
          <w:color w:val="000000"/>
          <w:sz w:val="22"/>
          <w:u w:val="single"/>
        </w:rPr>
        <w:t>Protection of Confidential Information</w:t>
      </w:r>
      <w:r>
        <w:rPr>
          <w:rFonts w:ascii="Times New Roman;serif" w:hAnsi="Times New Roman;serif"/>
          <w:b w:val="false"/>
          <w:color w:val="000000"/>
          <w:sz w:val="22"/>
        </w:rPr>
        <w:t xml:space="preserve">. Executive acknowledges and agrees that Executive has had access to and contributed to information and materials of a highly sensitive nature (including Confidential Information (as defined below)) of the Company and its current and future direct and indirect subsidiaries and parent and related entities. Executive agrees that unless Executive first secures the written consent of the Company, Executive shall not use for Executive or anyone else, and shall not, and shall cause Executive’s affiliates and representatives not to, disclose to others, any Confidential Information, except to the extent such use or disclosure is (i) used in the proper performance of Executive’s duties under this Agreement during the Employment Period, (ii) required by law or any order issued by any governmental authority (in which event Executive shall, to the extent practicable, inform the Company in advance of any such required disclosure, shall cooperate with the Company in all reasonable ways in obtaining a protective order or other protection in respect of such required disclosure, and shall limit such disclosure to the extent reasonably possible while still complying with such </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requirements) (iii) made to attorneys, accountants, or financial or other advisors of Executive who need to know such Confidential Information, know of the existence and terms of this Agreement and are bound by confidentiality obligations no less protective of the Confidential Information than the terms contained herein, or (iv) protected by Section 11 below. Executive shall, and shall cause Executive’s applicable affiliates and representatives to, use all reasonable care to safeguard Confidential Information and to protect it against disclosure, misuse, espionage, loss and theft. As used herein, “</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means all information (whether or not specifically identified as confidential), in any form or medium, that is disclosed to, or developed or learned by, Executive to the extent relating to the business, operations, affairs, products, services or research of the Company or any of their partners, affiliates, officers, directors or key employees, including, without limitation: (A) internal business information of the Company and its subsidiaries (including, without limitation, information relating to strategic plans or practices, business, accounting, financial or marketing plans, practices or programs, training practices or programs, salaries, bonuses, incentive plans or other compensation and benefits information or accounting and business methods); (B) identities of, individual requirements of, specific contractual arrangements with, or information about, the Company, its affiliates, their respective customers or their respective confidential information; (C) any confidential or proprietary information of any third party that the Company or its subsidiaries have a duty to maintain confidentiality of, or use only for certain limited purposes; (D) industry research compiled by, or on behalf of the Company, without limitation, identities of potential target companies, management teams, or transaction sources identified by, or on behalf of, Executive or the Company; (E) compilations of data or analyses, processes, methods, track and performance records, data or data bases relating thereto; and (F) information related to the intellectual property of the Company and its subsidiaries, or updates of any of the foregoing; provided that “</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 xml:space="preserve">shall not include any information that (x) Executive can demonstrate has become generally known to the public other than as a result of the acts or omissions of Executive or Executive’s affiliates in breach of any confidentiality obligations, or (y) is independently developed by Executive or Executive’s affiliates or representatives following the date hereof outside of Executive’s performance of his duties and responsibilities to the Company under this Agreement and without use of or reference to the Confidential Information. </w:t>
      </w:r>
    </w:p>
    <w:p>
      <w:pPr>
        <w:pStyle w:val="TextBody"/>
        <w:bidi w:val="0"/>
        <w:spacing w:lineRule="auto" w:line="288" w:before="0" w:after="120"/>
        <w:ind w:left="0" w:right="0" w:firstLine="1260"/>
        <w:jc w:val="both"/>
        <w:rPr/>
      </w:pPr>
      <w:r>
        <w:rPr>
          <w:rFonts w:ascii="Times New Roman;serif" w:hAnsi="Times New Roman;serif"/>
          <w:b w:val="false"/>
          <w:color w:val="000000"/>
          <w:sz w:val="22"/>
        </w:rPr>
        <w:t xml:space="preserve">8. </w:t>
      </w:r>
      <w:r>
        <w:rPr>
          <w:rFonts w:ascii="Times New Roman;serif" w:hAnsi="Times New Roman;serif"/>
          <w:b/>
          <w:color w:val="000000"/>
          <w:sz w:val="22"/>
          <w:u w:val="single"/>
        </w:rPr>
        <w:t>Non-Disparagement</w:t>
      </w:r>
      <w:r>
        <w:rPr>
          <w:rFonts w:ascii="Times New Roman;serif" w:hAnsi="Times New Roman;serif"/>
          <w:b w:val="false"/>
          <w:color w:val="000000"/>
          <w:sz w:val="22"/>
        </w:rPr>
        <w:t xml:space="preserve">. Following the Effective Date, except as protected by Section 11 below, Executive agrees not to publish or disseminate, directly or indirectly, any statements, whether written or oral, that are or could reasonably be expected to be harmful to or reflect negatively on any of the Company or any of its affiliates, or that are otherwise disparaging of any of the Company’s, its affiliates or any of their past or present officers, directors, employees, advisors, agents, policies, procedures, practices, decision-making, conduct, professionalism or compliance with standards. The Company agrees to instruct its directors and executive officers to refrain from making disparaging statement regarding Executive, other than (i) in connection with providing truthful testimony or other response in connection with any legal, judicial or governmental investigation or proceeding or (ii) statements made in response to Executive’s statements in the event that Executive’s statements are in breach of Executive’s non-disparagement obligations. In responding to inquiries about Executive from prospective employers, the Company’s Human Resources Department will confirm only Executive’s dates of employment and title. </w:t>
      </w:r>
    </w:p>
    <w:p>
      <w:pPr>
        <w:pStyle w:val="TextBody"/>
        <w:bidi w:val="0"/>
        <w:spacing w:lineRule="auto" w:line="288" w:before="0" w:after="120"/>
        <w:ind w:left="0" w:right="0" w:firstLine="1260"/>
        <w:jc w:val="both"/>
        <w:rPr/>
      </w:pPr>
      <w:r>
        <w:rPr>
          <w:rFonts w:ascii="Times New Roman;serif" w:hAnsi="Times New Roman;serif"/>
          <w:b w:val="false"/>
          <w:color w:val="000000"/>
          <w:sz w:val="22"/>
        </w:rPr>
        <w:t>9.</w:t>
      </w:r>
      <w:r>
        <w:rPr>
          <w:rFonts w:ascii="Times New Roman;serif" w:hAnsi="Times New Roman;serif"/>
          <w:b/>
          <w:color w:val="000000"/>
          <w:sz w:val="22"/>
          <w:u w:val="single"/>
        </w:rPr>
        <w:t>Non-Competition/Non-Solicitation</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Pre-Transition Period Non-Competition</w:t>
      </w:r>
      <w:r>
        <w:rPr>
          <w:rFonts w:ascii="Times New Roman;serif" w:hAnsi="Times New Roman;serif"/>
          <w:b w:val="false"/>
          <w:color w:val="000000"/>
          <w:sz w:val="22"/>
        </w:rPr>
        <w:t xml:space="preserve">. During the Pre-Transition Period, Executive shall devote Executive’s best efforts and full business time and attention to the business and affairs of the Company, its subsidiaries and its affiliates, and, unless provided otherwise pursuant to a prior unanimous written consent or approval by a majority of the Board, Executive shall not (i) serve as an employee or consultant for any other entity, (ii) serve on the board of directors or similar body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 xml:space="preserve">other entity that engages in the Restricted Business (as defined below), or (iii) engage, directly or indirectly, in any other business activity (whether or not pursued for pecuniary advantage) that is or may be competitive with, or that might place Executive in a competing position to, that of the Company or any of its subsidiaries or affiliates. (and, without limitation of the foregoing, for clarity, shall not engage in any of the activities restricted under Section 9(b) below). Notwithstanding the foregoing, during the Pre-Transition Period, it shall not be a violation of this Agreement for Executive to: (A) continue to serve in the roles (at existing levels/capacities) listed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 xml:space="preserve">hereto, (B) serve on boards, committees or similar bodies of charitable or nonprofit organizations or educational institutions, and (C) manage Executive’s personal investments (real estate or otherwise), in each case, so long as such activities do not violate this Section 9, create a potential business or fiduciary conflict, or, individually or in the aggregate, materially interfere or conflict with the performance of Executive’s duties and responsibilities under this Agreement. </w:t>
      </w:r>
    </w:p>
    <w:p>
      <w:pPr>
        <w:pStyle w:val="TextBody"/>
        <w:bidi w:val="0"/>
        <w:spacing w:lineRule="auto" w:line="288" w:before="0" w:after="12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Transition Period Non-Competition</w:t>
      </w:r>
      <w:r>
        <w:rPr>
          <w:rFonts w:ascii="Times New Roman;serif" w:hAnsi="Times New Roman;serif"/>
          <w:b w:val="false"/>
          <w:color w:val="000000"/>
          <w:sz w:val="22"/>
        </w:rPr>
        <w:t>. During the Employment Period, and without limiting Executive’s obligations during the Pre-Transition Period, Executive shall not, and shall cause Executive’s affiliates not to, in each case, directly or indirectly, own, manage, control, participate in, consult with, render services similar in nature to the services provided to the Company or its subsidiaries for, permit his, her or its name to be used in or in any other manner engage in the business or enterprise in which a material component of such business or enterprise (i.e., comprising more than 20% of the annual revenue or spending of such business or enterprise) involves the research, development, validation, manufacture, marketing, sale or provision of multi-cancer early detection screening or diagnostic tests or related technologies, together with associated laboratory, software, data, and clinical</w:t>
        <w:noBreakHyphen/>
        <w:t>support services (the “</w:t>
      </w:r>
      <w:r>
        <w:rPr>
          <w:rFonts w:ascii="Times New Roman;serif" w:hAnsi="Times New Roman;serif"/>
          <w:b/>
          <w:i/>
          <w:color w:val="000000"/>
          <w:sz w:val="22"/>
        </w:rPr>
        <w:t>Restricted Business</w:t>
      </w:r>
      <w:r>
        <w:rPr>
          <w:color w:val="000000"/>
        </w:rPr>
        <w:t>”</w:t>
      </w:r>
      <w:r>
        <w:rPr>
          <w:rFonts w:ascii="Times New Roman;serif" w:hAnsi="Times New Roman;serif"/>
          <w:b w:val="false"/>
          <w:color w:val="000000"/>
          <w:sz w:val="22"/>
        </w:rPr>
        <w:t xml:space="preserve">): (i) for or on behalf of any person or entity that was a customer (or affiliate thereof) of the Company or its subsidiaries during Executive’s employment and continues to be a customer of the Company (or affiliate thereof) as of the time such services are offered, or (ii) otherwise in any state within the United States in which the Company or its subsidiaries are engaged in the Restricted Business during the Employment Period. For purposes of this Section 9(b), the term “participate” includes any direct or indirect interest in any enterprise, whether as an officer, director, employee providing services substantially similar to the services provided to the Company or its subsidiaries, partner, sole proprietor, agent, representative, independent contractor providing services substantially similar to the services provided to the Company or its subsidiaries, seller, franchisor, franchisee, creditor or owner; provided that the foregoing activities shall not restrict (A) continued service in the roles (at existing levels/capacities) listed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 xml:space="preserve">hereto or (B) passive ownership of less than two percent (2%) of the equity securities of a publicly-held entity whose equity securities are traded on a national securities exchange or in the over the counter market, so long as Executive does not have the right or ability to directly or indirectly manage or otherwise direct the operations of such entity (including through the ability to appoint any representatives to the board of directors thereof). </w:t>
      </w:r>
    </w:p>
    <w:p>
      <w:pPr>
        <w:pStyle w:val="TextBody"/>
        <w:bidi w:val="0"/>
        <w:spacing w:lineRule="auto" w:line="288" w:before="0" w:after="12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Business Relations Non-Solicitation</w:t>
      </w:r>
      <w:r>
        <w:rPr>
          <w:rFonts w:ascii="Times New Roman;serif" w:hAnsi="Times New Roman;serif"/>
          <w:b w:val="false"/>
          <w:color w:val="000000"/>
          <w:sz w:val="22"/>
        </w:rPr>
        <w:t>. During the Employment Period, Executive shall not, and shall cause Executive’s affiliates not to, directly or indirectly, on Executive’s behalf or on behalf of others (other than on behalf of the Company), (x) induce or attempt to induce any customers, vendors, licensees, licensors or other business relations of the Company or its subsidiaries with whom Executive had personal interactions or had access to Confidential Information while employed by the Company (collectively, “</w:t>
      </w:r>
      <w:r>
        <w:rPr>
          <w:rFonts w:ascii="Times New Roman;serif" w:hAnsi="Times New Roman;serif"/>
          <w:b/>
          <w:i/>
          <w:color w:val="000000"/>
          <w:sz w:val="22"/>
        </w:rPr>
        <w:t>Business Relations</w:t>
      </w:r>
      <w:r>
        <w:rPr>
          <w:color w:val="000000"/>
        </w:rPr>
        <w:t>”</w:t>
      </w:r>
      <w:r>
        <w:rPr>
          <w:rFonts w:ascii="Times New Roman;serif" w:hAnsi="Times New Roman;serif"/>
          <w:b w:val="false"/>
          <w:color w:val="000000"/>
          <w:sz w:val="22"/>
        </w:rPr>
        <w:t xml:space="preserve">) to cease doing business with the Company or its subsidiaries or otherwise materially adversely modify its business relationship with the Company or its subsidiaries or (y) otherwise materially interfere with the relationship between the Company or its subsidiaries, on the one hand, and any Business Relations, on the other hand. </w:t>
      </w:r>
    </w:p>
    <w:p>
      <w:pPr>
        <w:pStyle w:val="TextBody"/>
        <w:bidi w:val="0"/>
        <w:spacing w:lineRule="auto" w:line="288" w:before="0" w:after="12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Employee Non-Solicitation</w:t>
      </w:r>
      <w:r>
        <w:rPr>
          <w:rFonts w:ascii="Times New Roman;serif" w:hAnsi="Times New Roman;serif"/>
          <w:b w:val="false"/>
          <w:color w:val="000000"/>
          <w:sz w:val="22"/>
        </w:rPr>
        <w:t xml:space="preserve">. During the Employment Period and during the twelve (12) month period immediately following the Separation Date, Executive shall not induce or </w:t>
      </w: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 xml:space="preserve">attempt to induce any Restricted Persons (as defined below) to leave the employ of or engagement by the Company or its subsidiaries, or otherwise materially interfere with the relationship between the Company or its subsidiaries and any such Restricted Person, or (y) solicit to hire or engage, either directly or on behalf of any other person or entity, any such person who is a Restricted Person; </w:t>
      </w:r>
      <w:r>
        <w:rPr>
          <w:rFonts w:ascii="Times New Roman;serif" w:hAnsi="Times New Roman;serif"/>
          <w:b w:val="false"/>
          <w:i/>
          <w:color w:val="000000"/>
          <w:sz w:val="22"/>
        </w:rPr>
        <w:t>provided</w:t>
      </w:r>
      <w:r>
        <w:rPr>
          <w:rFonts w:ascii="Times New Roman;serif" w:hAnsi="Times New Roman;serif"/>
          <w:b w:val="false"/>
          <w:color w:val="000000"/>
          <w:sz w:val="22"/>
        </w:rPr>
        <w:t>, that nothing contained in this Section 9(d) shall prohibit Executive from (placing general advertisements or conducting any other form of general solicitation that is not specifically targeted at any Restricted Persons without any direct or indirect prior solicitation or encouragement from Executive prior to such hiring or engagement in violation of this Agreement). For purposes of this Section 9(d), “</w:t>
      </w:r>
      <w:r>
        <w:rPr>
          <w:rFonts w:ascii="Times New Roman;serif" w:hAnsi="Times New Roman;serif"/>
          <w:b/>
          <w:i/>
          <w:color w:val="000000"/>
          <w:sz w:val="22"/>
        </w:rPr>
        <w:t>Restricted Persons</w:t>
      </w:r>
      <w:r>
        <w:rPr>
          <w:color w:val="000000"/>
        </w:rPr>
        <w:t xml:space="preserve">” </w:t>
      </w:r>
      <w:r>
        <w:rPr>
          <w:rFonts w:ascii="Times New Roman;serif" w:hAnsi="Times New Roman;serif"/>
          <w:b w:val="false"/>
          <w:color w:val="000000"/>
          <w:sz w:val="22"/>
        </w:rPr>
        <w:t xml:space="preserve">shall mean any officer, director, manager or employee of the Company or any of its subsidiaries whom Executive supervised, with whom Executive had personal interactions, or with respect to whom Executive had access to Confidential Information while employed by the Company.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10.    </w:t>
      </w:r>
      <w:r>
        <w:rPr>
          <w:rFonts w:ascii="Times New Roman;serif" w:hAnsi="Times New Roman;serif"/>
          <w:b/>
          <w:color w:val="000000"/>
          <w:sz w:val="22"/>
          <w:u w:val="single"/>
        </w:rPr>
        <w:t>Equitable Remedies</w:t>
      </w:r>
      <w:r>
        <w:rPr>
          <w:rFonts w:ascii="Times New Roman;serif" w:hAnsi="Times New Roman;serif"/>
          <w:b w:val="false"/>
          <w:color w:val="000000"/>
          <w:sz w:val="22"/>
        </w:rPr>
        <w:t>. The Executive acknowledges and understands that Sections 7, 8 and 9 of this Agreement are of a special and unique nature, the breach of which cannot be adequately compensated for in damages by an action at law, and that any breach or threatened breach of such provisions would cause the Company irreparable harm. In the event of a breach or threatened breach by Executive of the provisions of this Agreement, the Company shall be entitled to an injunction restraining Executive from such breach without the need to post bond therefor. Nothing contained in this Section 10 shall be construed as prohibiting the Company from pursuing, or limiting the Company’s ability to pursue, any other remedies available for any breach or threatened breach of this Agreement by Executive.</w:t>
      </w:r>
    </w:p>
    <w:p>
      <w:pPr>
        <w:pStyle w:val="TextBody"/>
        <w:bidi w:val="0"/>
        <w:spacing w:lineRule="auto" w:line="288" w:before="0" w:after="120"/>
        <w:ind w:left="0" w:right="0" w:firstLine="1260"/>
        <w:jc w:val="both"/>
        <w:rPr/>
      </w:pPr>
      <w:r>
        <w:rPr>
          <w:rFonts w:ascii="Times New Roman;serif" w:hAnsi="Times New Roman;serif"/>
          <w:b w:val="false"/>
          <w:color w:val="000000"/>
          <w:sz w:val="22"/>
        </w:rPr>
        <w:t>11.    </w:t>
      </w:r>
      <w:r>
        <w:rPr>
          <w:rFonts w:ascii="Times New Roman;serif" w:hAnsi="Times New Roman;serif"/>
          <w:b/>
          <w:color w:val="000000"/>
          <w:sz w:val="22"/>
          <w:u w:val="single"/>
        </w:rPr>
        <w:t>Certain Exceptions</w:t>
      </w:r>
      <w:r>
        <w:rPr>
          <w:rFonts w:ascii="Times New Roman;serif" w:hAnsi="Times New Roman;serif"/>
          <w:b w:val="false"/>
          <w:color w:val="000000"/>
          <w:sz w:val="22"/>
        </w:rPr>
        <w:t>. Notwithstanding anything in this Agreement or the Release to the contrary, nothing contained in this Agreement shall prohibit Executive (or Executive’s attorney) from (i) filing a charge with, reporting possible violations of federal law or regulation to, participating in any investigation by, or cooperating with the U.S. Securities and Exchange Commission (“</w:t>
      </w:r>
      <w:r>
        <w:rPr>
          <w:rFonts w:ascii="Times New Roman;serif" w:hAnsi="Times New Roman;serif"/>
          <w:b/>
          <w:i/>
          <w:color w:val="000000"/>
          <w:sz w:val="22"/>
        </w:rPr>
        <w:t>SEC</w:t>
      </w:r>
      <w:r>
        <w:rPr>
          <w:color w:val="000000"/>
        </w:rPr>
        <w:t>”</w:t>
      </w:r>
      <w:r>
        <w:rPr>
          <w:rFonts w:ascii="Times New Roman;serif" w:hAnsi="Times New Roman;serif"/>
          <w:b w:val="false"/>
          <w:color w:val="000000"/>
          <w:sz w:val="22"/>
        </w:rPr>
        <w:t>), the Financial Industry Regulatory Authority (“</w:t>
      </w:r>
      <w:r>
        <w:rPr>
          <w:rFonts w:ascii="Times New Roman;serif" w:hAnsi="Times New Roman;serif"/>
          <w:b/>
          <w:i/>
          <w:color w:val="000000"/>
          <w:sz w:val="22"/>
        </w:rPr>
        <w:t>FINRA</w:t>
      </w:r>
      <w:r>
        <w:rPr>
          <w:color w:val="000000"/>
        </w:rPr>
        <w:t>”</w:t>
      </w:r>
      <w:r>
        <w:rPr>
          <w:rFonts w:ascii="Times New Roman;serif" w:hAnsi="Times New Roman;serif"/>
          <w:b w:val="false"/>
          <w:color w:val="000000"/>
          <w:sz w:val="22"/>
        </w:rPr>
        <w:t>), the EEOC, the National Labor Relations Board (“</w:t>
      </w:r>
      <w:r>
        <w:rPr>
          <w:rFonts w:ascii="Times New Roman;serif" w:hAnsi="Times New Roman;serif"/>
          <w:b/>
          <w:i/>
          <w:color w:val="000000"/>
          <w:sz w:val="22"/>
        </w:rPr>
        <w:t>NLRB</w:t>
      </w:r>
      <w:r>
        <w:rPr>
          <w:color w:val="000000"/>
        </w:rPr>
        <w:t>”</w:t>
      </w:r>
      <w:r>
        <w:rPr>
          <w:rFonts w:ascii="Times New Roman;serif" w:hAnsi="Times New Roman;serif"/>
          <w:b w:val="false"/>
          <w:color w:val="000000"/>
          <w:sz w:val="22"/>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serif" w:hAnsi="Times New Roman;serif"/>
          <w:b/>
          <w:i/>
          <w:color w:val="000000"/>
          <w:sz w:val="22"/>
        </w:rPr>
        <w:t>Government Agencies</w:t>
      </w:r>
      <w:r>
        <w:rPr>
          <w:color w:val="000000"/>
        </w:rPr>
        <w:t>”</w:t>
      </w:r>
      <w:r>
        <w:rPr>
          <w:rFonts w:ascii="Times New Roman;serif" w:hAnsi="Times New Roman;serif"/>
          <w:b w:val="false"/>
          <w:color w:val="000000"/>
          <w:sz w:val="22"/>
        </w:rPr>
        <w:t xml:space="preserve">), or making other disclosures that are protected under the whistleblower provisions of applicable law or regulation, (ii) communicating directly with, cooperating with, or providing non-privileged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(iii) receiving an award for information provided to any Government Agency, (iv) exercising any rights Executive may have under Section 7 of the NLRA, such as the right to engage in concerted activity, including collective action or discussion concerning wages or working conditions, or (v) discussing or disclosing information about unlawful acts in the workplace, such as harassment or discrimination based on a protected characteristic or any other conduct that Executive has reason to believe is unlawful, in each case, without notice to or cooperation with the Company. Pursuant to 18 USC Section 1833(b), (1)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Executive files a lawsuit for retaliation by the Company for reporting a suspected violation of law, he may disclose the trade secret to his attorney and use the trade secret information in the court proceeding, if he (a) files any document containing the trade secret under seal and (b) does not disclose the trade secret, except pursuant to court order. Further, nothing in this Agreement is intended to or shall preclude Executive from providing truthful testimony in response to a valid subpoena, court order, regulatory request or other judicial, administrative or legal process or otherwise as required by law. If </w:t>
      </w:r>
    </w:p>
    <w:p>
      <w:pPr>
        <w:pStyle w:val="TextBody"/>
        <w:bidi w:val="0"/>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Executive is required to provide testimony, then unless otherwise directed or requested by a Governmental Agency or law enforcement or as protected above, Executive shall notify the Company in writing as promptly as practicable after receiving any such request of the anticipated testimony and at least ten (10) days prior to providing such testimony (or, if such notice is not possible under the circumstances, with as much prior notice as is possible) to afford the Company a reasonable opportunity to challenge the subpoena, court order or similar legal process.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12.    </w:t>
      </w:r>
      <w:r>
        <w:rPr>
          <w:rFonts w:ascii="Times New Roman;serif" w:hAnsi="Times New Roman;serif"/>
          <w:b/>
          <w:color w:val="000000"/>
          <w:sz w:val="22"/>
          <w:u w:val="single"/>
        </w:rPr>
        <w:t>Ongoing Cooperation</w:t>
      </w:r>
      <w:r>
        <w:rPr>
          <w:rFonts w:ascii="Times New Roman;serif" w:hAnsi="Times New Roman;serif"/>
          <w:b w:val="false"/>
          <w:color w:val="000000"/>
          <w:sz w:val="22"/>
        </w:rPr>
        <w:t>. Executive agrees that, during and after the Employment Period, Executive will assist and cooperate with the Company and its affiliates: (i) concerning reasonable requests for information about the business of the Company or its affiliates or Executive’s involvement and participation therein, (ii) in connection with the defense, prosecution or investigation of any claims or actions now in existence or which may be brought in the future against or on behalf of the Company or its subsidiaries or affiliates, including any proceeding before any arbitral, administrative, judicial, legislative, or other body or agency, including testifying in any proceeding to the extent such claims, actions, investigations or proceedings relate to services performed or required to be performed by Executive, pertinent knowledge possessed by Executive, or any act or omission by Executive, and (iii) and in connection with any investigation or review by any federal, state or local regulatory, quasi- or self-regulatory or self-governing authority or organization (including, without limitation, the SEC and FINRA) as any such investigation or review relates to services performed or required to be performed by Executive, pertinent knowledge possessed by Executive, or any act or omission by Executive. Executive’s full cooperation shall include, but not be limited to, being available to meet and speak with officers or employees of the Company, its affiliates and/or their counsel at reasonable times and locations, executing accurate and truthful documents, appearing at the Company’s request as a witness at depositions, trials or other proceedings without the necessity of a subpoena, and taking such other actions as may reasonably be requested by the Company and/or its counsel to effectuate the foregoing. In requesting such services, the Company will consider other commitments that Executive may have at the time of the request, shall reimburse Executive for reasonable, documented out-of-pocket expenses incurred in connection with such cooperation to the extent that such expenses are approved by the Company in advance and, to the extent such cooperation is provided after the Separation Date, and exceeds ten hours in the aggregate shall compensate Executive for such time in excess of ten hours at an hourly rate of $167.00.</w:t>
      </w:r>
    </w:p>
    <w:p>
      <w:pPr>
        <w:pStyle w:val="TextBody"/>
        <w:bidi w:val="0"/>
        <w:spacing w:lineRule="auto" w:line="288" w:before="0" w:after="120"/>
        <w:ind w:left="0" w:right="0" w:firstLine="1260"/>
        <w:jc w:val="both"/>
        <w:rPr/>
      </w:pPr>
      <w:r>
        <w:rPr>
          <w:rFonts w:ascii="Times New Roman;serif" w:hAnsi="Times New Roman;serif"/>
          <w:b w:val="false"/>
          <w:color w:val="000000"/>
          <w:sz w:val="22"/>
        </w:rPr>
        <w:t>13.    </w:t>
      </w:r>
      <w:r>
        <w:rPr>
          <w:rFonts w:ascii="Times New Roman;serif" w:hAnsi="Times New Roman;serif"/>
          <w:b/>
          <w:color w:val="000000"/>
          <w:sz w:val="22"/>
          <w:u w:val="single"/>
        </w:rPr>
        <w:t>Arbitration</w:t>
      </w:r>
      <w:r>
        <w:rPr>
          <w:rFonts w:ascii="Times New Roman;serif" w:hAnsi="Times New Roman;serif"/>
          <w:b w:val="false"/>
          <w:color w:val="000000"/>
          <w:sz w:val="22"/>
        </w:rPr>
        <w:t>. Executive acknowledges and agrees that the arbitration provisions set forth in this Section 13 supersede and replace the arbitration provisions set forth in the Offer Letter for all purposes hereunder and with respect to the Offer Letter.</w:t>
      </w:r>
    </w:p>
    <w:p>
      <w:pPr>
        <w:pStyle w:val="TextBody"/>
        <w:bidi w:val="0"/>
        <w:spacing w:lineRule="auto" w:line="288" w:before="0" w:after="12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JAMS Arbitration</w:t>
      </w:r>
      <w:r>
        <w:rPr>
          <w:rFonts w:ascii="Times New Roman;serif" w:hAnsi="Times New Roman;serif"/>
          <w:b w:val="false"/>
          <w:color w:val="000000"/>
          <w:sz w:val="22"/>
        </w:rPr>
        <w:t>. Executive and the Company agree that, except for any claims excluded in Section 13(g) below, any dispute, controversy or claim, however significant, arising out of or in any way relating to Executive’s employment with or termination of employment from the Company, including without limitation any dispute, controversy or claim arising out of or in any way relating to any provision of this Agreement (including the validity, scope and enforceability of this arbitration clause), to the fullest extent authorized by applicable law, shall be submitted to final and binding arbitration before a single neutral arbitrator in accordance with the rules of Judicial Arbitration and Mediation Services (“</w:t>
      </w:r>
      <w:r>
        <w:rPr>
          <w:rFonts w:ascii="Times New Roman;serif" w:hAnsi="Times New Roman;serif"/>
          <w:b/>
          <w:i/>
          <w:color w:val="000000"/>
          <w:sz w:val="22"/>
        </w:rPr>
        <w:t>JAMS</w:t>
      </w:r>
      <w:r>
        <w:rPr>
          <w:color w:val="000000"/>
        </w:rPr>
        <w:t>”</w:t>
      </w:r>
      <w:r>
        <w:rPr>
          <w:rFonts w:ascii="Times New Roman;serif" w:hAnsi="Times New Roman;serif"/>
          <w:b w:val="false"/>
          <w:color w:val="000000"/>
          <w:sz w:val="22"/>
        </w:rPr>
        <w:t xml:space="preserve">) pursuant to its Employment Arbitration Rules and Procedures, which are available at </w:t>
      </w:r>
      <w:r>
        <w:rPr>
          <w:rFonts w:ascii="Times New Roman;serif" w:hAnsi="Times New Roman;serif"/>
          <w:b w:val="false"/>
          <w:color w:val="0000FF"/>
          <w:sz w:val="22"/>
        </w:rPr>
        <w:t>http://www.jamsadr.com/rules-employment-arbitration/</w:t>
      </w:r>
      <w:r>
        <w:rPr>
          <w:rFonts w:ascii="Times New Roman;serif" w:hAnsi="Times New Roman;serif"/>
          <w:b w:val="false"/>
          <w:color w:val="000000"/>
          <w:sz w:val="22"/>
        </w:rPr>
        <w:t>, and the Company will provide a copy upon Executive’s request, as the exclusive remedy for resolving any and all such disputes.</w:t>
      </w:r>
    </w:p>
    <w:p>
      <w:pPr>
        <w:pStyle w:val="TextBody"/>
        <w:bidi w:val="0"/>
        <w:spacing w:lineRule="auto" w:line="288" w:before="0" w:after="12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Tribunal; Location; Individual Capacity</w:t>
      </w:r>
      <w:r>
        <w:rPr>
          <w:rFonts w:ascii="Times New Roman;serif" w:hAnsi="Times New Roman;serif"/>
          <w:b w:val="false"/>
          <w:color w:val="000000"/>
          <w:sz w:val="22"/>
        </w:rPr>
        <w:t xml:space="preserve">. The tribunal will consist of a sole neutral arbitrator selected by mutual agreement of the parties (or, absent such mutual agreement, in accordance with the rules of JAMS) and the place of arbitration will be San Francisco, California. Each party shall be entitled to all types of remedies and relief otherwise available in court (subject to the limitations set forth herein). The parties agree that any arbitration pursuant to this Agreement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brought on an individual, rather than class, collective, or representative basis, and waive the right to pursue any claim subject to arbitration on a class, collective, or representative basis. </w:t>
      </w:r>
    </w:p>
    <w:p>
      <w:pPr>
        <w:pStyle w:val="TextBody"/>
        <w:bidi w:val="0"/>
        <w:spacing w:lineRule="auto" w:line="288" w:before="0" w:after="12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Jurisdiction</w:t>
      </w:r>
      <w:r>
        <w:rPr>
          <w:rFonts w:ascii="Times New Roman;serif" w:hAnsi="Times New Roman;serif"/>
          <w:b w:val="false"/>
          <w:color w:val="000000"/>
          <w:sz w:val="22"/>
        </w:rPr>
        <w:t>. The parties to this Agreement hereby expressly and irrevocably submit themselves to the personal jurisdiction of the Superior Court of the State of California (the “</w:t>
      </w:r>
      <w:r>
        <w:rPr>
          <w:rFonts w:ascii="Times New Roman;serif" w:hAnsi="Times New Roman;serif"/>
          <w:b/>
          <w:i/>
          <w:color w:val="000000"/>
          <w:sz w:val="22"/>
        </w:rPr>
        <w:t>Superior Court</w:t>
      </w:r>
      <w:r>
        <w:rPr>
          <w:color w:val="000000"/>
        </w:rPr>
        <w:t>”</w:t>
      </w:r>
      <w:r>
        <w:rPr>
          <w:rFonts w:ascii="Times New Roman;serif" w:hAnsi="Times New Roman;serif"/>
          <w:b w:val="false"/>
          <w:color w:val="000000"/>
          <w:sz w:val="22"/>
        </w:rPr>
        <w:t xml:space="preserve">) for the purpose of compelling arbitration pursuant to this Agreement and for the purpose of any judicial proceedings seeking to confirm, modify or vacate any arbitration award.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w:t>
      </w:r>
    </w:p>
    <w:p>
      <w:pPr>
        <w:pStyle w:val="TextBody"/>
        <w:bidi w:val="0"/>
        <w:spacing w:lineRule="auto" w:line="288" w:before="0" w:after="12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To the extent required by applicable law, the fees of the arbitrator and all other costs that are unique to arbitration shall be paid by the Company initially, but if Executive initiates a claim subject to arbitration, Executive shall pay any filing fee up to the amount that Executive would be required to pay if Executive initiated such claim in the Superior Court. The arbitrator may if it deems appropriate in its discretion award costs and expenses, including, but not limited to, attorneys’ fees and/or witness fees incurred in connection with such arbitration to the prevailing party. </w:t>
      </w:r>
    </w:p>
    <w:p>
      <w:pPr>
        <w:pStyle w:val="TextBody"/>
        <w:bidi w:val="0"/>
        <w:spacing w:lineRule="auto" w:line="288" w:before="0" w:after="12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WAIVER OF TRIAL BY JURY OR COURT</w:t>
      </w:r>
      <w:r>
        <w:rPr>
          <w:rFonts w:ascii="Times New Roman;serif" w:hAnsi="Times New Roman;serif"/>
          <w:b w:val="false"/>
          <w:color w:val="000000"/>
          <w:sz w:val="22"/>
        </w:rPr>
        <w:t xml:space="preserve">. EXECUTIVE AND THE COMPANY UNDERSTAND THAT BY AGREEING TO ARBITRATE ANY ARBITRATION CLAIM, THEY WILL NOT HAVE THE RIGHT TO HAVE ANY ARBITRATION CLAIM DECIDED BY A JURY OR A COURT, BUT SHALL INSTEAD HAVE ANY ARBITRATION CLAIM DECIDED THROUGH ARBITRATION. </w:t>
      </w:r>
    </w:p>
    <w:p>
      <w:pPr>
        <w:pStyle w:val="TextBody"/>
        <w:bidi w:val="0"/>
        <w:spacing w:lineRule="auto" w:line="288" w:before="0" w:after="12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WAIVER OF OTHER RIGHTS</w:t>
      </w:r>
      <w:r>
        <w:rPr>
          <w:rFonts w:ascii="Times New Roman;serif" w:hAnsi="Times New Roman;serif"/>
          <w:b w:val="false"/>
          <w:color w:val="000000"/>
          <w:sz w:val="22"/>
        </w:rPr>
        <w:t xml:space="preserve">. EXECUTIVE AND THE COMPANY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 </w:t>
      </w:r>
    </w:p>
    <w:p>
      <w:pPr>
        <w:pStyle w:val="TextBody"/>
        <w:bidi w:val="0"/>
        <w:spacing w:lineRule="auto" w:line="288" w:before="0" w:after="12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Excluded Claims</w:t>
      </w:r>
      <w:r>
        <w:rPr>
          <w:rFonts w:ascii="Times New Roman;serif" w:hAnsi="Times New Roman;serif"/>
          <w:b w:val="false"/>
          <w:color w:val="000000"/>
          <w:sz w:val="22"/>
        </w:rPr>
        <w:t xml:space="preserve">. Notwithstanding the foregoing, this Section 13 shall not preclude either party from seeking a temporary restraining order or a preliminary injunction from a court of competent jurisdiction if such relief is not available in a timely fashion through arbitration. Further, this arbitration agreement shall not apply to: (i) claims for unemployment and workers’ compensation benefits; (ii) sexual harassment and sexual assault disputes arising under federal, state, local, or tribal law, unless Executive elects to arbitrate such disputes; (iii) claims arising under the NLRA or which are brought before the NLRB; (iv) claims brought before the EEOC, if Executive is required to exhaust Executive’s administrative remedies; provided, that any appeal from an award or denial of an award by the EEOC or any further action upon receipt of a right-to-sue letter shall be arbitrated pursuant to the terms of this Section 11; and (v) any other claim, which by law cannot be subject to mandatory arbitration. </w:t>
      </w:r>
    </w:p>
    <w:p>
      <w:pPr>
        <w:pStyle w:val="TextBody"/>
        <w:bidi w:val="0"/>
        <w:spacing w:lineRule="auto" w:line="288" w:before="0" w:after="12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Representation by Counsel</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The parties acknowledge that they are entering into this arbitration provision voluntarily, and are represented by counsel. If any part of this arbitration provision is deemed unenforceable, it is entirely severable from the rest and shall not affect or limit the validity or enforceability of the remainder of the provision, or the Agreement.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14.    </w:t>
      </w:r>
      <w:r>
        <w:rPr>
          <w:rFonts w:ascii="Times New Roman;serif" w:hAnsi="Times New Roman;serif"/>
          <w:b/>
          <w:color w:val="000000"/>
          <w:sz w:val="22"/>
          <w:u w:val="single"/>
        </w:rPr>
        <w:t>Code Section 409A</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To the extent applicable, this Agreement shall be interpreted in accordance with Section 409A of the Code and Department of Treasury regulations and other interpretive </w:t>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guidance issued thereunder, including without limitation any such regulations or other such guidance that may be issued after the Effective Date (collectively,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xml:space="preserve">). Notwithstanding any provision of this Agreement to the contrary, in the event that following the Effective Date, the Company determines that any compensation or benefits payable under this Agreement may be subject to Section 409A, the Company and Executive shall work together in good faith to such amendments to this Agreement or adopt other policies or procedures (including amendments, policies and procedures with retroactive effect), or take any other actions as may be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this Section 14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 </w:t>
      </w:r>
    </w:p>
    <w:p>
      <w:pPr>
        <w:pStyle w:val="TextBody"/>
        <w:bidi w:val="0"/>
        <w:spacing w:lineRule="auto" w:line="288" w:before="0" w:after="12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Separate Payments; Six-Month Delay</w:t>
      </w:r>
      <w:r>
        <w:rPr>
          <w:rFonts w:ascii="Times New Roman;serif" w:hAnsi="Times New Roman;serif"/>
          <w:b w:val="false"/>
          <w:color w:val="000000"/>
          <w:sz w:val="22"/>
        </w:rPr>
        <w:t xml:space="preserve">. Any right under this Agreement to a series of installment payments shall be treated as a right to a series of separate payments. All payments to be made under this Agreement in connection with a termination of employment shall only be made upon the Executive’s “separation from service” (within the meaning of and to the extent required by Section 409A). Notwithstanding anything to the contrary in this Agreement, no compensation or benefits shall be paid to Executive during the six-month period following Executive’s “separation from service” with the Company (within the meaning of Section 409A) if the payment of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if earlier, upon Executive’s death), the Company shall pay Executive a lump-sum amount equal to the cumulative amount that would have otherwise been payable to Executive during such period (without interest).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15.    </w:t>
      </w:r>
      <w:r>
        <w:rPr>
          <w:rFonts w:ascii="Times New Roman;serif" w:hAnsi="Times New Roman;serif"/>
          <w:b/>
          <w:color w:val="000000"/>
          <w:sz w:val="22"/>
          <w:u w:val="single"/>
        </w:rPr>
        <w:t>Governing Law</w:t>
      </w:r>
      <w:r>
        <w:rPr>
          <w:rFonts w:ascii="Times New Roman;serif" w:hAnsi="Times New Roman;serif"/>
          <w:b w:val="false"/>
          <w:color w:val="000000"/>
          <w:sz w:val="22"/>
        </w:rPr>
        <w:t>. This Agreement shall be construed under the laws of the State of California, both procedural and substantive.</w:t>
      </w:r>
    </w:p>
    <w:p>
      <w:pPr>
        <w:pStyle w:val="TextBody"/>
        <w:bidi w:val="0"/>
        <w:spacing w:lineRule="auto" w:line="288" w:before="0" w:after="120"/>
        <w:ind w:left="0" w:right="0" w:firstLine="1260"/>
        <w:jc w:val="both"/>
        <w:rPr/>
      </w:pPr>
      <w:r>
        <w:rPr>
          <w:rFonts w:ascii="Times New Roman;serif" w:hAnsi="Times New Roman;serif"/>
          <w:b w:val="false"/>
          <w:color w:val="000000"/>
          <w:sz w:val="22"/>
        </w:rPr>
        <w:t>16.    </w:t>
      </w:r>
      <w:r>
        <w:rPr>
          <w:rFonts w:ascii="Times New Roman;serif" w:hAnsi="Times New Roman;serif"/>
          <w:b/>
          <w:color w:val="000000"/>
          <w:sz w:val="22"/>
          <w:u w:val="single"/>
        </w:rPr>
        <w:t>Waiver</w:t>
      </w:r>
      <w:r>
        <w:rPr>
          <w:rFonts w:ascii="Times New Roman;serif" w:hAnsi="Times New Roman;serif"/>
          <w:b w:val="false"/>
          <w:color w:val="000000"/>
          <w:sz w:val="22"/>
        </w:rPr>
        <w:t xml:space="preserve">. The failure to enforce any provision of this Agreement shall not be construed to be a waiver of such provision or to affect the validity of this Agreement or the right of any party to enforce this Agreement.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17.    </w:t>
      </w:r>
      <w:r>
        <w:rPr>
          <w:rFonts w:ascii="Times New Roman;serif" w:hAnsi="Times New Roman;serif"/>
          <w:b/>
          <w:color w:val="000000"/>
          <w:sz w:val="22"/>
          <w:u w:val="single"/>
        </w:rPr>
        <w:t>Headings</w:t>
      </w:r>
      <w:r>
        <w:rPr>
          <w:rFonts w:ascii="Times New Roman;serif" w:hAnsi="Times New Roman;serif"/>
          <w:b w:val="false"/>
          <w:color w:val="000000"/>
          <w:sz w:val="22"/>
        </w:rPr>
        <w:t xml:space="preserve">. The headings in this Agreement are provided solely for convenience, and are not intended to be part of, nor to affect or alter the interpretation or meaning of, this Agreement.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18.    </w:t>
      </w:r>
      <w:r>
        <w:rPr>
          <w:rFonts w:ascii="Times New Roman;serif" w:hAnsi="Times New Roman;serif"/>
          <w:b/>
          <w:color w:val="000000"/>
          <w:sz w:val="22"/>
          <w:u w:val="single"/>
        </w:rPr>
        <w:t>Severability</w:t>
      </w:r>
      <w:r>
        <w:rPr>
          <w:rFonts w:ascii="Times New Roman;serif" w:hAnsi="Times New Roman;serif"/>
          <w:b w:val="false"/>
          <w:color w:val="000000"/>
          <w:sz w:val="22"/>
        </w:rPr>
        <w:t xml:space="preserve">. If any sentence, phrase, section, subsection or portion of this Agreement is found to be illegal or unenforceable, such action shall not affect the validity or enforceability of the remaining sentences, phrases, sections, subsections or portions of this Agreement, which shall remain fully valid and enforceable. </w:t>
      </w:r>
    </w:p>
    <w:p>
      <w:pPr>
        <w:pStyle w:val="TextBody"/>
        <w:bidi w:val="0"/>
        <w:spacing w:lineRule="auto" w:line="288" w:before="0" w:after="120"/>
        <w:ind w:left="0" w:right="0" w:firstLine="1260"/>
        <w:jc w:val="both"/>
        <w:rPr/>
      </w:pPr>
      <w:r>
        <w:rPr>
          <w:rFonts w:ascii="Times New Roman;serif" w:hAnsi="Times New Roman;serif"/>
          <w:b w:val="false"/>
          <w:color w:val="000000"/>
          <w:sz w:val="22"/>
        </w:rPr>
        <w:t>19.    </w:t>
      </w:r>
      <w:r>
        <w:rPr>
          <w:rFonts w:ascii="Times New Roman;serif" w:hAnsi="Times New Roman;serif"/>
          <w:b/>
          <w:color w:val="000000"/>
          <w:sz w:val="22"/>
          <w:u w:val="single"/>
        </w:rPr>
        <w:t>Assignment</w:t>
      </w:r>
      <w:r>
        <w:rPr>
          <w:rFonts w:ascii="Times New Roman;serif" w:hAnsi="Times New Roman;serif"/>
          <w:b w:val="false"/>
          <w:color w:val="000000"/>
          <w:sz w:val="22"/>
        </w:rPr>
        <w:t xml:space="preserve">. This Agreement is personal to Executive and shall not be assignable by Executive. The rights of the Company under this Agreement may be assigned by the Company, in its sole discretion, including to any of its affiliates or any person, firm, corporation or other business entity which at any time, whether by purchase, merger or otherwise, directly or indirectly, acquires all or substantially all of the assets or business of the Company. This Agreement shall inure to the benefit of, and be binding on, the Company and its successors and assigns. </w:t>
      </w:r>
    </w:p>
    <w:p>
      <w:pPr>
        <w:pStyle w:val="TextBody"/>
        <w:bidi w:val="0"/>
        <w:spacing w:lineRule="auto" w:line="288" w:before="0" w:after="120"/>
        <w:ind w:left="0" w:right="0" w:firstLine="1260"/>
        <w:jc w:val="both"/>
        <w:rPr/>
      </w:pPr>
      <w:r>
        <w:rPr>
          <w:rFonts w:ascii="Times New Roman;serif" w:hAnsi="Times New Roman;serif"/>
          <w:b w:val="false"/>
          <w:color w:val="000000"/>
          <w:sz w:val="22"/>
        </w:rPr>
        <w:t>20.    </w:t>
      </w:r>
      <w:r>
        <w:rPr>
          <w:rFonts w:ascii="Times New Roman;serif" w:hAnsi="Times New Roman;serif"/>
          <w:b/>
          <w:color w:val="000000"/>
          <w:sz w:val="22"/>
          <w:u w:val="single"/>
        </w:rPr>
        <w:t>Ambiguities</w:t>
      </w:r>
      <w:r>
        <w:rPr>
          <w:rFonts w:ascii="Times New Roman;serif" w:hAnsi="Times New Roman;serif"/>
          <w:b w:val="false"/>
          <w:color w:val="000000"/>
          <w:sz w:val="22"/>
        </w:rPr>
        <w:t xml:space="preserve">. Both parties have participated in the negotiation of this Agreement and, thus, it is understood and agreed that the general rule that ambiguities are to be construed against the drafter shall not apply to this Agreement. In the event that any language of this Agreement is found to be </w:t>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ambiguous, each party shall have an opportunity to present evidence as to the actual intent of the parties with respect to any such ambiguous language. </w:t>
      </w:r>
    </w:p>
    <w:p>
      <w:pPr>
        <w:pStyle w:val="TextBody"/>
        <w:bidi w:val="0"/>
        <w:spacing w:lineRule="auto" w:line="288" w:before="0" w:after="120"/>
        <w:ind w:left="0" w:right="0" w:firstLine="1260"/>
        <w:jc w:val="both"/>
        <w:rPr/>
      </w:pPr>
      <w:r>
        <w:rPr>
          <w:rFonts w:ascii="Times New Roman;serif" w:hAnsi="Times New Roman;serif"/>
          <w:b w:val="false"/>
          <w:color w:val="000000"/>
          <w:sz w:val="22"/>
        </w:rPr>
        <w:t>21.    </w:t>
      </w:r>
      <w:r>
        <w:rPr>
          <w:rFonts w:ascii="Times New Roman;serif" w:hAnsi="Times New Roman;serif"/>
          <w:b/>
          <w:color w:val="000000"/>
          <w:sz w:val="22"/>
          <w:u w:val="single"/>
        </w:rPr>
        <w:t>Entire Agreement/Integration</w:t>
      </w:r>
      <w:r>
        <w:rPr>
          <w:rFonts w:ascii="Times New Roman;serif" w:hAnsi="Times New Roman;serif"/>
          <w:b w:val="false"/>
          <w:color w:val="000000"/>
          <w:sz w:val="22"/>
        </w:rPr>
        <w:t xml:space="preserve">. This Agreement, together with the Offer Letter (solely until the first to occur of the Transition Date or the Separation Date), the individual agreements evidencing any outstanding incentive equity awards granted to Executive by the Company and the Release, constitutes the entire agreement between Executive and the Company concerning the subject matter hereof. No covenants, agreements, representations, or warranties of any kind, other than those set forth herein, have been made to any party hereto with respect to this Agreement. All prior discussions and negotiations have been and are merged and integrated into, and are superseded by, this Agreement. No amendments to this Agreement will be valid unless written and signed by Executive and an authorized representative of the Company. </w:t>
      </w:r>
    </w:p>
    <w:p>
      <w:pPr>
        <w:pStyle w:val="TextBody"/>
        <w:bidi w:val="0"/>
        <w:spacing w:lineRule="auto" w:line="288" w:before="0" w:after="120"/>
        <w:ind w:left="0" w:right="0" w:firstLine="1260"/>
        <w:jc w:val="both"/>
        <w:rPr/>
      </w:pPr>
      <w:r>
        <w:rPr>
          <w:rFonts w:ascii="Times New Roman;serif" w:hAnsi="Times New Roman;serif"/>
          <w:b/>
          <w:color w:val="000000"/>
          <w:sz w:val="22"/>
        </w:rPr>
        <w:t>22.</w:t>
      </w:r>
      <w:r>
        <w:rPr>
          <w:color w:val="000000"/>
        </w:rPr>
        <w:t>    </w:t>
      </w:r>
      <w:r>
        <w:rPr>
          <w:rFonts w:ascii="Times New Roman;serif" w:hAnsi="Times New Roman;serif"/>
          <w:b/>
          <w:color w:val="000000"/>
          <w:sz w:val="22"/>
          <w:u w:val="single"/>
        </w:rPr>
        <w:t>Consultation with Counsel</w:t>
      </w:r>
      <w:r>
        <w:rPr>
          <w:rFonts w:ascii="Times New Roman;serif" w:hAnsi="Times New Roman;serif"/>
          <w:b w:val="false"/>
          <w:color w:val="000000"/>
          <w:sz w:val="22"/>
        </w:rPr>
        <w:t xml:space="preserve">. </w:t>
      </w:r>
      <w:r>
        <w:rPr>
          <w:rFonts w:ascii="Times New Roman;serif" w:hAnsi="Times New Roman;serif"/>
          <w:b/>
          <w:color w:val="000000"/>
          <w:sz w:val="22"/>
        </w:rPr>
        <w:t xml:space="preserve">Executive acknowledges (i) that Executive has thoroughly read and considered all aspects of this Agreement, that Executive understands all its provisions and that Executive is voluntarily entering into this Agreement, (ii) that he has been represented by, or had the opportunity to be represented by independent counsel of his own choice in connection with the negotiation and execution of this Agreement and has been advised to do so by the Company, and (iii) that he has read and understands the Agreement, is fully aware of its legal effect, and has entered into it freely based on his own judgment. </w:t>
      </w:r>
    </w:p>
    <w:p>
      <w:pPr>
        <w:pStyle w:val="TextBody"/>
        <w:bidi w:val="0"/>
        <w:spacing w:lineRule="auto" w:line="288" w:before="0" w:after="120"/>
        <w:ind w:left="0" w:right="0" w:firstLine="1260"/>
        <w:jc w:val="both"/>
        <w:rPr/>
      </w:pPr>
      <w:r>
        <w:rPr>
          <w:rFonts w:ascii="Times New Roman;serif" w:hAnsi="Times New Roman;serif"/>
          <w:b w:val="false"/>
          <w:color w:val="000000"/>
          <w:sz w:val="22"/>
        </w:rPr>
        <w:t>23.    </w:t>
      </w:r>
      <w:r>
        <w:rPr>
          <w:rFonts w:ascii="Times New Roman;serif" w:hAnsi="Times New Roman;serif"/>
          <w:b/>
          <w:color w:val="000000"/>
          <w:sz w:val="22"/>
          <w:u w:val="single"/>
        </w:rPr>
        <w:t>Notices</w:t>
      </w:r>
      <w:r>
        <w:rPr>
          <w:rFonts w:ascii="Times New Roman;serif" w:hAnsi="Times New Roman;serif"/>
          <w:b w:val="false"/>
          <w:color w:val="000000"/>
          <w:sz w:val="22"/>
        </w:rPr>
        <w:t xml:space="preserve">. All notices, requests and other communications hereunder shall be in writing and shall be delivered by courier or other means of personal service (including by means of a nationally recognized courier service or professional messenger service), or sent by email or facsimile and also mailed first class, postage prepaid, by certified mail, return receipt requested, in all cases addressed to: </w:t>
      </w:r>
    </w:p>
    <w:p>
      <w:pPr>
        <w:pStyle w:val="TextBody"/>
        <w:bidi w:val="0"/>
        <w:spacing w:before="0" w:after="120"/>
        <w:ind w:left="0" w:right="0" w:firstLine="1260"/>
        <w:jc w:val="both"/>
        <w:rPr/>
      </w:pPr>
      <w:r>
        <w:rPr/>
      </w:r>
    </w:p>
    <w:p>
      <w:pPr>
        <w:pStyle w:val="TextBody"/>
        <w:bidi w:val="0"/>
        <w:spacing w:lineRule="auto" w:line="288" w:before="0" w:after="120"/>
        <w:jc w:val="both"/>
        <w:rPr/>
      </w:pPr>
      <w:r>
        <w:rPr>
          <w:rFonts w:ascii="Times New Roman;serif" w:hAnsi="Times New Roman;serif"/>
          <w:b w:val="false"/>
          <w:color w:val="000000"/>
          <w:sz w:val="22"/>
          <w:u w:val="single"/>
        </w:rPr>
        <w:t>If to Executive</w:t>
      </w: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At Executive’s last known address evidenced on the Company’s payroll records or email address evidenced on the Company’s records. </w:t>
      </w:r>
    </w:p>
    <w:p>
      <w:pPr>
        <w:pStyle w:val="TextBody"/>
        <w:bidi w:val="0"/>
        <w:spacing w:before="0" w:after="12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ind w:left="0" w:right="0" w:firstLine="1440"/>
        <w:jc w:val="both"/>
        <w:rPr/>
      </w:pPr>
      <w:r>
        <w:rPr>
          <w:rFonts w:ascii="Times New Roman;serif" w:hAnsi="Times New Roman;serif"/>
          <w:b w:val="false"/>
          <w:color w:val="000000"/>
          <w:sz w:val="22"/>
          <w:u w:val="single"/>
        </w:rPr>
        <w:t>If to the Company</w:t>
      </w:r>
      <w:r>
        <w:rPr>
          <w:rFonts w:ascii="Times New Roman;serif" w:hAnsi="Times New Roman;serif"/>
          <w:b w:val="false"/>
          <w:color w:val="000000"/>
          <w:sz w:val="22"/>
        </w:rPr>
        <w:t xml:space="preserve">: </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GRAIL, Inc. </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1525 O’Brien Drive </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Menlo Park, CA 94025 </w:t>
      </w:r>
    </w:p>
    <w:p>
      <w:pPr>
        <w:pStyle w:val="TextBody"/>
        <w:bidi w:val="0"/>
        <w:spacing w:lineRule="auto" w:line="288" w:before="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Attention: Abram Barth </w:t>
      </w:r>
    </w:p>
    <w:p>
      <w:pPr>
        <w:pStyle w:val="TextBody"/>
        <w:bidi w:val="0"/>
        <w:spacing w:before="0" w:after="1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erif" w:hAnsi="Times New Roman;serif"/>
          <w:b/>
          <w:color w:val="000000"/>
          <w:sz w:val="22"/>
        </w:rPr>
        <w:t>PLEASE READ THIS AGREEMENT CAREFULLY. THIS AGREEMENT CONTAINS A RELEASE OF ALL KNOWN AND UNKNOWN CLAIMS. EXECUTIVE AGREES TO THE TERMS OF THIS AGREEMENT AND VOLUNTARILY ENTERS INTO IT WITH THE INTENT TO BE BOUND HEREBY.</w:t>
      </w:r>
      <w:r>
        <w:rPr>
          <w:color w:val="000000"/>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above accurately reflects Executive’s understanding, please date and sign the enclosed copy of this Agreement in the places indicated below and return that copy to Abram Barth (abarth@grailbio.com) by March 31, 2026. </w:t>
      </w:r>
    </w:p>
    <w:p>
      <w:pPr>
        <w:pStyle w:val="TextBody"/>
        <w:bidi w:val="0"/>
        <w:spacing w:before="0" w:after="120"/>
        <w:ind w:left="0" w:right="0" w:firstLine="720"/>
        <w:jc w:val="both"/>
        <w:rPr/>
      </w:pPr>
      <w:r>
        <w:rPr/>
      </w:r>
    </w:p>
    <w:p>
      <w:pPr>
        <w:pStyle w:val="TextBody"/>
        <w:bidi w:val="0"/>
        <w:spacing w:lineRule="auto" w:line="288" w:before="0" w:after="120"/>
        <w:jc w:val="left"/>
        <w:rPr/>
      </w:pPr>
      <w:r>
        <w:rPr>
          <w:rFonts w:ascii="Times New Roman;serif" w:hAnsi="Times New Roman;serif"/>
          <w:b w:val="false"/>
          <w:color w:val="000000"/>
          <w:sz w:val="22"/>
        </w:rPr>
        <w:t>Dated: __</w:t>
      </w:r>
      <w:r>
        <w:rPr>
          <w:rFonts w:ascii="Times New Roman;serif" w:hAnsi="Times New Roman;serif"/>
          <w:b w:val="false"/>
          <w:color w:val="000000"/>
          <w:sz w:val="22"/>
          <w:u w:val="single"/>
        </w:rPr>
        <w:t>March 11, 2026</w:t>
      </w:r>
      <w:r>
        <w:rPr>
          <w:rFonts w:ascii="Times New Roman;serif" w:hAnsi="Times New Roman;serif"/>
          <w:b w:val="false"/>
          <w:color w:val="000000"/>
          <w:sz w:val="22"/>
        </w:rPr>
        <w:t>______     Robert Ragusa</w:t>
      </w:r>
    </w:p>
    <w:p>
      <w:pPr>
        <w:pStyle w:val="TextBody"/>
        <w:bidi w:val="0"/>
        <w:spacing w:before="0" w:after="120"/>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2"/>
        </w:rPr>
        <w:t>_</w:t>
      </w:r>
      <w:r>
        <w:rPr>
          <w:rFonts w:ascii="Times New Roman;serif" w:hAnsi="Times New Roman;serif"/>
          <w:b w:val="false"/>
          <w:color w:val="000000"/>
          <w:sz w:val="22"/>
          <w:u w:val="single"/>
        </w:rPr>
        <w:t>/s/ Robert Ragusa</w:t>
      </w:r>
      <w:r>
        <w:rPr>
          <w:rFonts w:ascii="Times New Roman;serif" w:hAnsi="Times New Roman;serif"/>
          <w:b w:val="false"/>
          <w:color w:val="000000"/>
          <w:sz w:val="22"/>
        </w:rPr>
        <w:t>_________</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22"/>
        </w:rPr>
        <w:t>Dated: __</w:t>
      </w:r>
      <w:r>
        <w:rPr>
          <w:rFonts w:ascii="Times New Roman;serif" w:hAnsi="Times New Roman;serif"/>
          <w:b w:val="false"/>
          <w:color w:val="000000"/>
          <w:sz w:val="22"/>
          <w:u w:val="single"/>
        </w:rPr>
        <w:t>March 10, 2026</w:t>
      </w:r>
      <w:r>
        <w:rPr>
          <w:rFonts w:ascii="Times New Roman;serif" w:hAnsi="Times New Roman;serif"/>
          <w:b w:val="false"/>
          <w:color w:val="000000"/>
          <w:sz w:val="22"/>
        </w:rPr>
        <w:t>______     GRAIL, Inc.</w:t>
      </w:r>
    </w:p>
    <w:p>
      <w:pPr>
        <w:pStyle w:val="TextBody"/>
        <w:bidi w:val="0"/>
        <w:spacing w:before="0" w:after="120"/>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2"/>
        </w:rPr>
        <w:t>_</w:t>
      </w:r>
      <w:r>
        <w:rPr>
          <w:rFonts w:ascii="Times New Roman;serif" w:hAnsi="Times New Roman;serif"/>
          <w:b w:val="false"/>
          <w:color w:val="000000"/>
          <w:sz w:val="22"/>
          <w:u w:val="single"/>
        </w:rPr>
        <w:t>/s/ Gregory Summe</w:t>
      </w:r>
      <w:r>
        <w:rPr>
          <w:rFonts w:ascii="Times New Roman;serif" w:hAnsi="Times New Roman;serif"/>
          <w:b w:val="false"/>
          <w:color w:val="000000"/>
          <w:sz w:val="22"/>
        </w:rPr>
        <w:t>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Gregory Summe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Position: Chair of the Board </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2"/>
          <w:u w:val="single"/>
        </w:rPr>
        <w:t>Schedule A</w:t>
      </w:r>
      <w:r>
        <w:rPr>
          <w:color w:val="000000"/>
        </w:rPr>
        <w:t xml:space="preserve"> </w:t>
      </w:r>
    </w:p>
    <w:p>
      <w:pPr>
        <w:pStyle w:val="TextBody"/>
        <w:bidi w:val="0"/>
        <w:spacing w:lineRule="auto" w:line="288" w:before="0" w:after="120"/>
        <w:jc w:val="center"/>
        <w:rPr/>
      </w:pPr>
      <w:r>
        <w:rPr>
          <w:rFonts w:ascii="Times New Roman;serif" w:hAnsi="Times New Roman;serif"/>
          <w:b w:val="false"/>
          <w:i/>
          <w:color w:val="000000"/>
          <w:sz w:val="22"/>
        </w:rPr>
        <w:t>Permitted Outside Activities</w:t>
      </w:r>
      <w:r>
        <w:rPr>
          <w:color w:val="000000"/>
        </w:rPr>
        <w:t xml:space="preserve"> </w:t>
      </w:r>
    </w:p>
    <w:p>
      <w:pPr>
        <w:pStyle w:val="TextBody"/>
        <w:bidi w:val="0"/>
        <w:spacing w:before="0" w:after="120"/>
        <w:jc w:val="center"/>
        <w:rPr/>
      </w:pPr>
      <w:r>
        <w:rPr/>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1.Service as a member of the board of directors of Twist Bioscience Corporation.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 xml:space="preserve">Exhibit 23.1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CONSENT OF INDEPENDENT REGISTERED PUBLIC ACCOUNTING FIRM</w:t>
      </w:r>
    </w:p>
    <w:p>
      <w:pPr>
        <w:pStyle w:val="TextBody"/>
        <w:bidi w:val="0"/>
        <w:spacing w:before="0" w:after="200"/>
        <w:jc w:val="left"/>
        <w:rPr/>
      </w:pPr>
      <w:r>
        <w:rPr/>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We consent to the incorporation by reference in the following Registration Statements:</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(1) Registration Statement (Form S-8 No. 333-280424) pertaining to the 2024 Incentive Award Plan and 2024 Employee Stock Purchase Plan of GRAIL, Inc.,</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(2) Registration Statement (Form S-8 No. 333-281890) pertaining to the 2024 Employment Inducement Incentive Award Plan of GRAIL, Inc.,</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(3) Registration Statement (Form S-8 No. 333-285580) pertaining the 2024 Employee Stock Purchase Plan of GRAIL, Inc.,</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(4) Registration Statement (Form S-8 No. 333-287266) pertaining to the 2024 Employee Inducement Incentive Award Plan of GRAIL, Inc., and</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 xml:space="preserve">(5) Registration Statement (Form S-3ASR No. 333-291503) and related Prospectus of GRAIL, Inc.; </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of our report dated March 12, 2026, with respect to the consolidated financial statements of GRAIL, Inc.included in this Annual Report (Form 10-K) of GRAIL, Inc. for the year ended December 31, 2025.</w:t>
      </w:r>
    </w:p>
    <w:p>
      <w:pPr>
        <w:pStyle w:val="TextBody"/>
        <w:bidi w:val="0"/>
        <w:spacing w:before="0" w:after="200"/>
        <w:jc w:val="left"/>
        <w:rPr/>
      </w:pPr>
      <w:r>
        <w:rPr/>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/s/ Ernst &amp; Young LLP</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San Mateo, California</w:t>
      </w:r>
    </w:p>
    <w:p>
      <w:pPr>
        <w:pStyle w:val="TextBody"/>
        <w:bidi w:val="0"/>
        <w:spacing w:lineRule="auto" w:line="319" w:before="0" w:after="200"/>
        <w:jc w:val="left"/>
        <w:rPr>
          <w:rFonts w:ascii="Arial;sans-serif" w:hAnsi="Arial;sans-serif"/>
          <w:b w:val="false"/>
          <w:color w:val="000000"/>
          <w:sz w:val="19"/>
        </w:rPr>
      </w:pPr>
      <w:r>
        <w:rPr>
          <w:rFonts w:ascii="Arial;sans-serif" w:hAnsi="Arial;sans-serif"/>
          <w:b w:val="false"/>
          <w:color w:val="000000"/>
          <w:sz w:val="19"/>
        </w:rPr>
        <w:t>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Ragusa, certify that: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GRAIL, Inc.;</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4634"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758"/>
        <w:gridCol w:w="758"/>
        <w:gridCol w:w="107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Robert Ragusa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Robert Ragusa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Aaron Freidin, certify that: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GRAIL, Inc.;</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4543"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731"/>
        <w:gridCol w:w="731"/>
        <w:gridCol w:w="104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Certification of Chief Executive Officer,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As Adopted Pursuant to Section 906 of the Sarbanes-Oxley Act of 2002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Annual Report of GRAIL, Inc. (the “Company”) on Form 10-K for the year ended December 31, 2025, as filed with the Securities and Exchange Commission on the date hereof (the “Report”), I, Robert Ragusa, Chief Executive Officer of the Company, certify, pursuant to 18 U.S.C. Section 1350, as adopted pursuant to Section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634"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758"/>
        <w:gridCol w:w="758"/>
        <w:gridCol w:w="107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Robert Ragusa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Robert Ragusa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Certification of Chief Financial Officer,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As Adopted Pursuant to Section 906 of the Sarbanes-Oxley Act of 2002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Annual Report of GRAIL, Inc. (the “Company”) on Form 10-K for the year ended December 31, 2025, as filed with the Securities and Exchange Commission on the date hereof (the “Report”), I, Aaron Freidin, Chief Financial Officer of the Company, certify, pursuant to 18 U.S.C. Section 1350, as adopted pursuant to Section 906 of the Sarbanes-Oxley Act of 2002, that:</w:t>
      </w:r>
    </w:p>
    <w:p>
      <w:pPr>
        <w:pStyle w:val="TextBody"/>
        <w:bidi w:val="0"/>
        <w:spacing w:before="0" w:after="12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43"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731"/>
        <w:gridCol w:w="731"/>
        <w:gridCol w:w="104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Aaron Freidin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Adell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699031/000119312524167037/d797014dex21.htm" TargetMode="External"/><Relationship Id="rId11" Type="http://schemas.openxmlformats.org/officeDocument/2006/relationships/hyperlink" Target="https://www.sec.gov/Archives/edgar/data/1699031/000119312524167037/d797014dex31.htm" TargetMode="External"/><Relationship Id="rId12" Type="http://schemas.openxmlformats.org/officeDocument/2006/relationships/hyperlink" Target="https://www.sec.gov/Archives/edgar/data/1699031/000119312524167037/d797014dex32.htm" TargetMode="External"/><Relationship Id="rId13" Type="http://schemas.openxmlformats.org/officeDocument/2006/relationships/hyperlink" Target="https://www.sec.gov/Archives/edgar/data/1699031/000119312524167037/d797014dex33.htm" TargetMode="External"/><Relationship Id="rId14" Type="http://schemas.openxmlformats.org/officeDocument/2006/relationships/hyperlink" Target="https://www.sec.gov/Archives/edgar/data/1699031/000169903125000041/ex41descriptionofsecurities.htm" TargetMode="External"/><Relationship Id="rId15" Type="http://schemas.openxmlformats.org/officeDocument/2006/relationships/hyperlink" Target="https://www.sec.gov/Archives/edgar/data/1699031/000162828025045532/exhibit41-8xk.htm" TargetMode="External"/><Relationship Id="rId16" Type="http://schemas.openxmlformats.org/officeDocument/2006/relationships/hyperlink" Target="https://www.sec.gov/Archives/edgar/data/1699031/000162828025052027/exhibit42-sx3.htm" TargetMode="External"/><Relationship Id="rId17" Type="http://schemas.openxmlformats.org/officeDocument/2006/relationships/hyperlink" Target="https://www.sec.gov/Archives/edgar/data/1699031/000162828025052027/exhibit42-sx3.htm" TargetMode="External"/><Relationship Id="rId18" Type="http://schemas.openxmlformats.org/officeDocument/2006/relationships/hyperlink" Target="https://www.sec.gov/Archives/edgar/data/1699031/000119312524167037/d797014dex101.htm" TargetMode="External"/><Relationship Id="rId19" Type="http://schemas.openxmlformats.org/officeDocument/2006/relationships/hyperlink" Target="https://www.sec.gov/Archives/edgar/data/1699031/000119312524167037/d797014dex102.htm" TargetMode="External"/><Relationship Id="rId20" Type="http://schemas.openxmlformats.org/officeDocument/2006/relationships/hyperlink" Target="https://www.sec.gov/Archives/edgar/data/1699031/000119312524167037/d797014dex103.htm" TargetMode="External"/><Relationship Id="rId21" Type="http://schemas.openxmlformats.org/officeDocument/2006/relationships/hyperlink" Target="https://www.sec.gov/Archives/edgar/data/1699031/000119312524132022/d556103dex104.htm" TargetMode="External"/><Relationship Id="rId22" Type="http://schemas.openxmlformats.org/officeDocument/2006/relationships/hyperlink" Target="https://www.sec.gov/Archives/edgar/data/1699031/000119312524132022/d556103dex105.htm" TargetMode="External"/><Relationship Id="rId23" Type="http://schemas.openxmlformats.org/officeDocument/2006/relationships/hyperlink" Target="https://www.sec.gov/Archives/edgar/data/1699031/000119312524132022/d556103dex106.htm" TargetMode="External"/><Relationship Id="rId24" Type="http://schemas.openxmlformats.org/officeDocument/2006/relationships/hyperlink" Target="https://www.sec.gov/Archives/edgar/data/1699031/000119312524132022/d556103dex107.htm" TargetMode="External"/><Relationship Id="rId25" Type="http://schemas.openxmlformats.org/officeDocument/2006/relationships/hyperlink" Target="https://www.sec.gov/Archives/edgar/data/1699031/000162828024030858/a101grail-2024incentiveawa.htm" TargetMode="External"/><Relationship Id="rId26" Type="http://schemas.openxmlformats.org/officeDocument/2006/relationships/hyperlink" Target="https://www.sec.gov/Archives/edgar/data/1699031/000119312524148672/d556103dex109.htm" TargetMode="External"/><Relationship Id="rId27" Type="http://schemas.openxmlformats.org/officeDocument/2006/relationships/hyperlink" Target="https://www.sec.gov/Archives/edgar/data/1699031/000119312524148672/d556103dex1010.htm" TargetMode="External"/><Relationship Id="rId28" Type="http://schemas.openxmlformats.org/officeDocument/2006/relationships/hyperlink" Target="https://www.sec.gov/Archives/edgar/data/1699031/000119312524148672/d556103dex1011.htm" TargetMode="External"/><Relationship Id="rId29" Type="http://schemas.openxmlformats.org/officeDocument/2006/relationships/hyperlink" Target="https://www.sec.gov/Archives/edgar/data/1699031/000162828024030858/a102grail-2024employeestoc.htm" TargetMode="External"/><Relationship Id="rId30" Type="http://schemas.openxmlformats.org/officeDocument/2006/relationships/hyperlink" Target="https://www.sec.gov/Archives/edgar/data/1699031/000119312524148672/d556103dex1013.htm" TargetMode="External"/><Relationship Id="rId31" Type="http://schemas.openxmlformats.org/officeDocument/2006/relationships/hyperlink" Target="https://www.sec.gov/Archives/edgar/data/1699031/000119312524148672/d556103dex1014.htm" TargetMode="External"/><Relationship Id="rId32" Type="http://schemas.openxmlformats.org/officeDocument/2006/relationships/hyperlink" Target="https://www.sec.gov/Archives/edgar/data/1699031/000169903125000120/a-8xkexxgrailx2025x05x12xf.htm" TargetMode="External"/><Relationship Id="rId33" Type="http://schemas.openxmlformats.org/officeDocument/2006/relationships/hyperlink" Target="https://www.sec.gov/Archives/edgar/data/0001699031/000119312524148672/d556103dex1017.htm" TargetMode="External"/><Relationship Id="rId34" Type="http://schemas.openxmlformats.org/officeDocument/2006/relationships/hyperlink" Target="https://www.sec.gov/Archives/edgar/data/0001699031/000119312524148672/d556103dex1018.htm" TargetMode="External"/><Relationship Id="rId35" Type="http://schemas.openxmlformats.org/officeDocument/2006/relationships/hyperlink" Target="https://www.sec.gov/Archives/edgar/data/0001699031/000119312524148672/d556103dex1019.htm" TargetMode="External"/><Relationship Id="rId36" Type="http://schemas.openxmlformats.org/officeDocument/2006/relationships/hyperlink" Target="https://www.sec.gov/Archives/edgar/data/0001699031/000119312524148672/d556103dex1020.htm" TargetMode="External"/><Relationship Id="rId37" Type="http://schemas.openxmlformats.org/officeDocument/2006/relationships/hyperlink" Target="https://www.sec.gov/Archives/edgar/data/0001699031/000119312524148672/d556103dex1021.htm" TargetMode="External"/><Relationship Id="rId38" Type="http://schemas.openxmlformats.org/officeDocument/2006/relationships/hyperlink" Target="https://www.sec.gov/Archives/edgar/data/0001699031/000119312524148672/d556103dex1022.htm" TargetMode="External"/><Relationship Id="rId39" Type="http://schemas.openxmlformats.org/officeDocument/2006/relationships/hyperlink" Target="https://www.sec.gov/Archives/edgar/data/0001699031/000119312524148672/d556103dex1023.htm" TargetMode="External"/><Relationship Id="rId40" Type="http://schemas.openxmlformats.org/officeDocument/2006/relationships/hyperlink" Target="https://www.sec.gov/Archives/edgar/data/0001699031/000119312524148672/d556103dex1024.htm" TargetMode="External"/><Relationship Id="rId41" Type="http://schemas.openxmlformats.org/officeDocument/2006/relationships/hyperlink" Target="https://www.sec.gov/Archives/edgar/data/1699031/000162828024030858/a103grail-directorcompensa.htm" TargetMode="External"/><Relationship Id="rId42" Type="http://schemas.openxmlformats.org/officeDocument/2006/relationships/hyperlink" Target="https://www.sec.gov/Archives/edgar/data/1699031/000169903125000180/grailusleaseagreement250.htm" TargetMode="External"/><Relationship Id="rId43" Type="http://schemas.openxmlformats.org/officeDocument/2006/relationships/hyperlink" Target="https://www.sec.gov/Archives/edgar/data/1699031/000162828025045239/exhibit101spa-grailxsamsun.htm" TargetMode="External"/><Relationship Id="rId44" Type="http://schemas.openxmlformats.org/officeDocument/2006/relationships/hyperlink" Target="https://www.sec.gov/Archives/edgar/data/1699031/000162828025045532/exhibit101-8xk.htm" TargetMode="External"/><Relationship Id="rId45" Type="http://schemas.openxmlformats.org/officeDocument/2006/relationships/hyperlink" Target="https://www.sec.gov/Archives/edgar/data/1699031/000162828025045532/exhibit102-8xk.htm" TargetMode="External"/><Relationship Id="rId46" Type="http://schemas.openxmlformats.org/officeDocument/2006/relationships/hyperlink" Target="https://www.sec.gov/Archives/edgar/data/1699031/000162828025052184/exhibit101-8xknov2025.htm" TargetMode="External"/><Relationship Id="rId47" Type="http://schemas.openxmlformats.org/officeDocument/2006/relationships/hyperlink" Target="https://www.sec.gov/Archives/edgar/data/1699031/000169903125000041/ex191grailinsidertradingco.htm" TargetMode="External"/><Relationship Id="rId48" Type="http://schemas.openxmlformats.org/officeDocument/2006/relationships/hyperlink" Target="https://www.sec.gov/Archives/edgar/data/1699031/000119312524132022/d556103dex211.htm" TargetMode="External"/><Relationship Id="rId49" Type="http://schemas.openxmlformats.org/officeDocument/2006/relationships/hyperlink" Target="https://www.sec.gov/Archives/edgar/data/1699031/000169903125000041/ex971policyforrecoveryofer.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135846</Words>
  <Characters>769440</Characters>
  <CharactersWithSpaces>901629</CharactersWithSpaces>
  <Paragraphs>5110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