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2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13, 2025</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GRAIL,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Charter)</w:t>
      </w:r>
    </w:p>
    <w:p>
      <w:pPr>
        <w:pStyle w:val="TextBody"/>
        <w:bidi w:val="0"/>
        <w:spacing w:lineRule="auto" w:line="288" w:before="12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w:t>
      </w:r>
    </w:p>
    <w:tbl>
      <w:tblPr>
        <w:tblW w:w="4692" w:type="dxa"/>
        <w:jc w:val="center"/>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001-42045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20"/>
              </w:rPr>
            </w:pPr>
            <w:r>
              <w:rPr>
                <w:rFonts w:ascii="Times New Roman;sans-serif" w:hAnsi="Times New Roman;sans-serif"/>
                <w:b/>
                <w:color w:val="231F20"/>
                <w:sz w:val="20"/>
              </w:rPr>
              <w:t>86-3673636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1525 O’Brien Drive Menlo Park, California 94025</w:t>
      </w:r>
    </w:p>
    <w:p>
      <w:pPr>
        <w:pStyle w:val="TextBody"/>
        <w:bidi w:val="0"/>
        <w:spacing w:lineRule="auto" w:line="288" w:before="0" w:after="0"/>
        <w:ind w:left="0" w:right="0" w:firstLine="7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(833) 694-2553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4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78"/>
        <w:gridCol w:w="878"/>
        <w:gridCol w:w="124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331"/>
        <w:gridCol w:w="290"/>
        <w:gridCol w:w="293"/>
        <w:gridCol w:w="1152"/>
        <w:gridCol w:w="1152"/>
        <w:gridCol w:w="164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3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13, 2025, GRAIL, Inc. (the “Company” or “GRAIL”) issued a press release announcing its financial results for the first quarter ended March 31, 2025. A copy of the press release is furnished as Exhibit 99.1 to this Current Report on Form 8-K and is incorporated herein by reference.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of this Current Report on Form 8-K and the exhibits attached hereto are intended to be “furnished” and shall not be deemed “filed” for purposes of Section 18 of the Securities Exchange Act of 1934, as amended. Except as shall be expressly set forth by specific reference in such filing, the information contained herein and in the accompanying exhibits shall not be incorporated by reference into any filing with the Securities and Exchange Commission made by the Company, whether made before or after the date hereof,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5" w:type="dxa"/>
        <w:jc w:val="left"/>
        <w:tblInd w:w="0" w:type="dxa"/>
        <w:tblLayout w:type="fixed"/>
        <w:tblCellMar>
          <w:top w:w="28" w:type="dxa"/>
          <w:left w:w="28" w:type="dxa"/>
          <w:bottom w:w="28" w:type="dxa"/>
          <w:right w:w="28" w:type="dxa"/>
        </w:tblCellMar>
      </w:tblPr>
      <w:tblGrid>
        <w:gridCol w:w="331"/>
        <w:gridCol w:w="290"/>
        <w:gridCol w:w="293"/>
        <w:gridCol w:w="264"/>
        <w:gridCol w:w="264"/>
        <w:gridCol w:w="3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ind w:left="0" w:right="0" w:firstLine="450"/>
        <w:jc w:val="left"/>
        <w:rPr/>
      </w:pPr>
      <w:r>
        <w:rPr/>
      </w:r>
    </w:p>
    <w:tbl>
      <w:tblPr>
        <w:tblW w:w="992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00"/>
        <w:gridCol w:w="2500"/>
        <w:gridCol w:w="35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5q1earningspressre.htm">
              <w:r>
                <w:rPr>
                  <w:rStyle w:val="InternetLink"/>
                  <w:rFonts w:ascii="Times New Roman;sans-serif" w:hAnsi="Times New Roman;sans-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5q1earningspressre.htm">
              <w:r>
                <w:rPr>
                  <w:rStyle w:val="InternetLink"/>
                  <w:rFonts w:ascii="Times New Roman;sans-serif" w:hAnsi="Times New Roman;sans-serif"/>
                  <w:b w:val="false"/>
                  <w:color w:val="000080"/>
                  <w:sz w:val="20"/>
                </w:rPr>
                <w:t xml:space="preserve">Press Release of GRAIL, Inc. dated </w:t>
              </w:r>
            </w:hyperlink>
            <w:hyperlink w:anchor="ex9912025q1earningspressre.htm">
              <w:r>
                <w:rPr>
                  <w:rStyle w:val="InternetLink"/>
                  <w:rFonts w:ascii="Times New Roman;sans-serif" w:hAnsi="Times New Roman;sans-serif"/>
                  <w:b w:val="false"/>
                  <w:color w:val="000080"/>
                  <w:sz w:val="20"/>
                </w:rPr>
                <w:t>May</w:t>
              </w:r>
            </w:hyperlink>
            <w:hyperlink w:anchor="ex9912025q1earningspressre.htm">
              <w:r>
                <w:rPr>
                  <w:rStyle w:val="InternetLink"/>
                  <w:rFonts w:ascii="Times New Roman;sans-serif" w:hAnsi="Times New Roman;sans-serif"/>
                  <w:b w:val="false"/>
                  <w:color w:val="000080"/>
                  <w:sz w:val="20"/>
                </w:rPr>
                <w:t xml:space="preserve"> 1</w:t>
              </w:r>
            </w:hyperlink>
            <w:hyperlink w:anchor="ex9912025q1earningspressre.htm">
              <w:r>
                <w:rPr>
                  <w:rStyle w:val="InternetLink"/>
                  <w:rFonts w:ascii="Times New Roman;sans-serif" w:hAnsi="Times New Roman;sans-serif"/>
                  <w:b w:val="false"/>
                  <w:color w:val="000080"/>
                  <w:sz w:val="20"/>
                </w:rPr>
                <w:t>3</w:t>
              </w:r>
            </w:hyperlink>
            <w:hyperlink w:anchor="ex9912025q1earningspressre.htm">
              <w:r>
                <w:rPr>
                  <w:rStyle w:val="InternetLink"/>
                  <w:rFonts w:ascii="Times New Roman;sans-serif" w:hAnsi="Times New Roman;sans-serif"/>
                  <w:b w:val="false"/>
                  <w:color w:val="000080"/>
                  <w:sz w:val="20"/>
                </w:rPr>
                <w:t>, 202</w:t>
              </w:r>
            </w:hyperlink>
            <w:hyperlink w:anchor="ex9912025q1earningspressre.htm">
              <w:r>
                <w:rPr>
                  <w:rStyle w:val="InternetLink"/>
                  <w:rFonts w:ascii="Times New Roman;sans-serif" w:hAnsi="Times New Roman;sans-serif"/>
                  <w:b w:val="false"/>
                  <w:color w:val="000080"/>
                  <w:sz w:val="20"/>
                </w:rPr>
                <w:t>5</w:t>
              </w:r>
            </w:hyperlink>
            <w:hyperlink w:anchor="ex9912025q1earningspressre.htm">
              <w:r>
                <w:rPr>
                  <w:rStyle w:val="InternetLink"/>
                  <w:rFonts w:ascii="Times New Roman;sans-serif" w:hAnsi="Times New Roman;sans-serif"/>
                  <w:b w:val="false"/>
                  <w:color w:val="000080"/>
                  <w:sz w:val="20"/>
                </w:rPr>
                <w:t xml:space="preserve"> (GRAIL Reports </w:t>
              </w:r>
            </w:hyperlink>
            <w:hyperlink w:anchor="ex9912025q1earningspressre.htm">
              <w:r>
                <w:rPr>
                  <w:rStyle w:val="InternetLink"/>
                  <w:rFonts w:ascii="Times New Roman;sans-serif" w:hAnsi="Times New Roman;sans-serif"/>
                  <w:b w:val="false"/>
                  <w:color w:val="000080"/>
                  <w:sz w:val="20"/>
                </w:rPr>
                <w:t>First</w:t>
              </w:r>
            </w:hyperlink>
            <w:hyperlink w:anchor="ex9912025q1earningspressre.htm">
              <w:r>
                <w:rPr>
                  <w:rStyle w:val="InternetLink"/>
                  <w:rFonts w:ascii="Times New Roman;sans-serif" w:hAnsi="Times New Roman;sans-serif"/>
                  <w:b w:val="false"/>
                  <w:color w:val="000080"/>
                  <w:sz w:val="20"/>
                </w:rPr>
                <w:t xml:space="preserve"> Quarter 202</w:t>
              </w:r>
            </w:hyperlink>
            <w:hyperlink w:anchor="ex9912025q1earningspressre.htm">
              <w:r>
                <w:rPr>
                  <w:rStyle w:val="InternetLink"/>
                  <w:rFonts w:ascii="Times New Roman;sans-serif" w:hAnsi="Times New Roman;sans-serif"/>
                  <w:b w:val="false"/>
                  <w:color w:val="000080"/>
                  <w:sz w:val="20"/>
                </w:rPr>
                <w:t>5</w:t>
              </w:r>
            </w:hyperlink>
            <w:hyperlink w:anchor="ex9912025q1earningspressre.htm">
              <w:r>
                <w:rPr>
                  <w:rStyle w:val="InternetLink"/>
                  <w:rFonts w:ascii="Times New Roman;sans-serif" w:hAnsi="Times New Roman;sans-serif"/>
                  <w:b w:val="false"/>
                  <w:color w:val="000080"/>
                  <w:sz w:val="20"/>
                </w:rPr>
                <w:t xml:space="preserve"> Financial Results)</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476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10"/>
        <w:gridCol w:w="210"/>
        <w:gridCol w:w="210"/>
        <w:gridCol w:w="581"/>
        <w:gridCol w:w="581"/>
        <w:gridCol w:w="8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GRAIL,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009775" cy="3714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009775" cy="3714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330E74"/>
          <w:sz w:val="28"/>
        </w:rPr>
        <w:t>NEWS RELEASE</w:t>
      </w:r>
      <w:r>
        <w:rPr>
          <w:color w:val="4C16AE"/>
        </w:rPr>
        <w:t>    </w:t>
      </w: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GRAIL Reports First Quarter 2025 Financial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Q1 U.S. Galleri Revenue Grew 22% Year-Over-Year to $28.7 Million</w:t>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GRAIL Announces Positive Top-Line Results From the Prevalent Screening Round of the NHS-Galleri Trial</w:t>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Cash Position of $677.9 Million Provides Runway Into 2028</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MENLO PARK, Calif. — May 13, 2025 — GRAIL, Inc. (Nasdaq: GRAL), a healthcare company whose mission is to detect cancer early when it can be cured, today reported business and financial results for the first quarter 2025.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Total revenue in the first quarter was $31.8 million, representing 19% growth year over year, and Galleri revenue was $29.1 million, representing 24% growth year over year. U.S. Galleri revenue was $28.7 million, representing 22% growth year over year. Net loss for the quarter was $106.2 million, which includes amortization of Illumina acquisition-related intangible items of $34.6 million. Gross loss was $19.9 million. Adjusted gross profit was $14.3 million, and adjusted EBITDA was $(98.7) million.</w:t>
      </w:r>
      <w:r>
        <w:rPr>
          <w:rFonts w:ascii="Arial;sans-serif" w:hAnsi="Arial;sans-serif"/>
          <w:b w:val="false"/>
          <w:color w:val="000000"/>
          <w:sz w:val="13"/>
        </w:rPr>
        <w:t>1</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We are pleased with the continued U.S. commercial growth of Galleri, with more than 37,000 Galleri tests completed in the first quarter of 2025, as well as recent steps to streamline the test ordering process and increase test access,” said Bob Ragusa, Chief Executive Officer at GRAIL. “We remain focused on developing the market for population scale multi-cancer early detection, advancing Galleri to unlock broad access, and cost efficiency.”</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three months ended March 31, 2025, as compared to the three months ended March 31, 2024, GRAIL reported:</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Total revenue, comprised of screening and development services revenue, was $31.8 million, an increase of $5.1 million or 19%.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Net loss:</w:t>
      </w:r>
      <w:r>
        <w:rPr>
          <w:color w:val="000000"/>
        </w:rPr>
        <w:t xml:space="preserve"> </w:t>
      </w:r>
      <w:r>
        <w:rPr>
          <w:rFonts w:ascii="Arial;sans-serif" w:hAnsi="Arial;sans-serif"/>
          <w:b w:val="false"/>
          <w:color w:val="000000"/>
          <w:sz w:val="20"/>
        </w:rPr>
        <w:t xml:space="preserve">Net loss was $106.2 million, an improvement of $112.7 million or 51%. </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Gross loss:</w:t>
      </w:r>
      <w:r>
        <w:rPr>
          <w:color w:val="000000"/>
        </w:rPr>
        <w:t xml:space="preserve"> </w:t>
      </w:r>
      <w:r>
        <w:rPr>
          <w:rFonts w:ascii="Arial;sans-serif" w:hAnsi="Arial;sans-serif"/>
          <w:b w:val="false"/>
          <w:color w:val="000000"/>
          <w:sz w:val="20"/>
        </w:rPr>
        <w:t>Gross loss was $19.9 million, an improvement of $2.0 million or 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gross profit</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gross profit was $14.3 million, an increase of $2.3 million or 19%.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EBITDA</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EBITDA was $(98.7) million, an improvement of $53.2 million or 35%.</w:t>
      </w:r>
    </w:p>
    <w:p>
      <w:pPr>
        <w:pStyle w:val="TextBody"/>
        <w:bidi w:val="0"/>
        <w:spacing w:before="0" w:after="60"/>
        <w:jc w:val="left"/>
        <w:rPr/>
      </w:pPr>
      <w:r>
        <w:rPr/>
      </w:r>
    </w:p>
    <w:p>
      <w:pPr>
        <w:pStyle w:val="TextBody"/>
        <w:bidi w:val="0"/>
        <w:spacing w:lineRule="auto" w:line="288" w:before="0" w:after="60"/>
        <w:jc w:val="left"/>
        <w:rPr/>
      </w:pPr>
      <w:r>
        <w:rPr>
          <w:rFonts w:ascii="Arial;sans-serif" w:hAnsi="Arial;sans-serif"/>
          <w:b/>
          <w:color w:val="000000"/>
          <w:sz w:val="20"/>
        </w:rPr>
        <w:t xml:space="preserve">Cash position: </w:t>
      </w:r>
      <w:r>
        <w:rPr>
          <w:rFonts w:ascii="Arial;sans-serif" w:hAnsi="Arial;sans-serif"/>
          <w:b w:val="false"/>
          <w:color w:val="000000"/>
          <w:sz w:val="20"/>
        </w:rPr>
        <w:t>Cash, cash equivalents, restricted cash and short-term marketable securities totaled $677.9 million as of March 31, 2025.</w:t>
      </w:r>
    </w:p>
    <w:p>
      <w:pPr>
        <w:pStyle w:val="TextBody"/>
        <w:bidi w:val="0"/>
        <w:spacing w:before="0" w:after="60"/>
        <w:jc w:val="left"/>
        <w:rPr/>
      </w:pPr>
      <w:r>
        <w:rPr/>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Disclosure” and the associated reconciliations for important information about our use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NHS-Galleri Trial Update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GRAIL recently completed a review of Galleri test performance results in the intervention arm from the prevalent screening round of the registrational NHS-Galleri trial. The prevalent screening round is the first round of blood draws (of the three total blood draw rounds in the trial) with one year of follow up.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Data from the prevalent screening round showed a substantially higher positive predictive value (PPV) than that observed in the PATHFINDER study, which was previously published in </w:t>
      </w:r>
      <w:r>
        <w:rPr>
          <w:rFonts w:ascii="Arial;sans-serif" w:hAnsi="Arial;sans-serif"/>
          <w:b w:val="false"/>
          <w:i/>
          <w:color w:val="000000"/>
          <w:sz w:val="20"/>
        </w:rPr>
        <w:t>The Lancet</w:t>
      </w:r>
      <w:r>
        <w:rPr>
          <w:rFonts w:ascii="Arial;sans-serif" w:hAnsi="Arial;sans-serif"/>
          <w:b w:val="false"/>
          <w:color w:val="000000"/>
          <w:sz w:val="20"/>
        </w:rPr>
        <w:t>. Cancer signal of origin (CSO) accuracy and specificity were consistent with that observed in the PATHFINDER study. In PATHFINDER, Galleri demonstrated a PPV of 43%, CSO accuracy of 88%, and specificity of 99.5%. There were no serious safety concerns in the NHS-Galleri prevalent screening round, also consistent with the PATHFINDER study.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We are very pleased with these initial results from the NHS-Galleri trial, which is the largest randomized controlled trial of any MCED test,” added Ragusa. “We plan to share registrational data from the PATHFINDER 2 study later this year and final results from the NHS-Galleri trial in mid-2026.”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NHS-Galleri trial was designed with three consecutive years of screening in order to achieve the primary endpoint, which is the absolute reduction in the number of late stage (stages 3 and 4) cancer diagnoses. Final clinical utility results from all three years of the trial are expected in mid-2026. GRAIL plans to submit data from the prevalent screening round of the NHS-Galleri trial as part of our premarket approval application in the first half of 2026.</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Additional recent business highlights include:</w:t>
      </w:r>
    </w:p>
    <w:p>
      <w:pPr>
        <w:pStyle w:val="TextBody"/>
        <w:bidi w:val="0"/>
        <w:spacing w:before="0" w:after="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Data presented at American Association for Cancer Research (AACR) 2025 in April include: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Real-world data in 100,000 patients demonstrating the Galleri test’s ability to simultaneously screen for multiple cancers, as well as its high accuracy of cancer signal of origin prediction to support efficient diagnostic evaluation. Test performance in this real world analysis was consistent with that observed in prior clinical studies. (https://assets.grail.com/wp-content/uploads/2025/04/7202.Matrana.AACR-2025-RWE-100K_Poster_Final.pdf)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modeling analysis highlighting that individuals receiving a negative MCED test have a reduced risk of cancer diagnosis for one year post-blood draw. The risk increases as the screening interval extends beyond one year, highlighting the importance of an annual MCED screening. (https://assets.grail.com/wp-content/uploads/2025/04/7132.Westgate.AACR-2025-Post-Test-Analysis_Poster_FINAL.pdf)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Partnership with athenahealth to integrate ordering of the Galleri test into AthenaCoordinator Core, a leading cloud-based electronic health record (EHR) platform, helping to streamline the test ordering process and delivery of test results for more than 160,000 U.S. providers, and increase patient access.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Partnership with award-winning actress Kate Walsh to launch Generation Possible, an educational initiative to raise awareness of MCED testing. More information about Generation Possible is available at GenPosssible.com, including Walsh’s personal connection to cancer, details about MCED testing and access to important resources.</w:t>
      </w:r>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w:t>
      </w:r>
    </w:p>
    <w:p>
      <w:pPr>
        <w:pStyle w:val="TextBody"/>
        <w:bidi w:val="0"/>
        <w:spacing w:lineRule="auto" w:line="288" w:before="0" w:after="0"/>
        <w:jc w:val="left"/>
        <w:rPr/>
      </w:pPr>
      <w:r>
        <w:rPr>
          <w:rFonts w:ascii="Arial;sans-serif" w:hAnsi="Arial;sans-serif"/>
          <w:b w:val="false"/>
          <w:color w:val="000000"/>
          <w:sz w:val="20"/>
        </w:rPr>
        <w:t>A webcast and conference call will be held today,</w:t>
      </w:r>
      <w:r>
        <w:rPr>
          <w:color w:val="000000"/>
        </w:rPr>
        <w:t xml:space="preserve"> </w:t>
      </w:r>
      <w:r>
        <w:rPr>
          <w:rFonts w:ascii="Arial;sans-serif" w:hAnsi="Arial;sans-serif"/>
          <w:b w:val="false"/>
          <w:color w:val="000000"/>
          <w:sz w:val="20"/>
        </w:rPr>
        <w:t>May 13, 2025, at 1:30 p.m. PT / 4:30 p.m. ET. Individuals interested in listening to the conference call may access it on the investor relations section of GRAIL’s website at investors.grail.com.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replay of the webcast will be available on GRAIL’s website for 30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GRAIL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GRAIL, Inc. is a healthcare company whose mission is to detect cancer early, when it can be cured. GRAIL is focused on alleviating the global burden of cancer by using the power of next-generation sequencing, population-scale clinical studies, and state-of-the-art machine learning, software, and automation to detect and identify multiple deadly cancer types in earlier stages. GRAIL’s targeted methylation-based platform can support the continuum of care for screening and precision oncology, including multi-cancer early detection in symptomatic patients, risk stratification, minimal residual disease detection, biomarker subtyping, treatment and recurrence monitoring. GRAIL is headquartered in Menlo Park, CA with locations in Washington, D.C., North Carolina, and the United Kingdom. GRAIL’s common stock is listed under the ticker symbol “GRAL” on the Nasdaq Stock Exchange.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grail.com</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Galleri®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Galleri multi-cancer early detection test is a proactive tool to screen for cancer. With a simple blood draw, the Galleri test can identify DNA shed by cancer cells, which can act as a unique "fingerprint" of cancer, to help screen for some of the deadliest cancers that do not have recommended screening today, such as pancreatic, esophageal, ovarian, liver, and others.* The Galleri test can be used to screen for cancer before a person becomes symptomatic, when cancer may be more easily treated and potentially curable. The Galleri test can indicate the origin of the cancer, giving healthcare providers a roadmap of where to explore further. The Galleri test requires a prescription from a licensed healthcare provider and should be used in addition to recommended cancer screenings such as mammography, colonoscopy, prostate-specific antigen (PSA) test, or cervical cancer screening. The Galleri test is recommended for adults with an elevated risk for cancer, such as those aged 50 or older.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galleri.com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Sensitivity in CCGA study participants with – Pancreas cancer: 83.7% overall (61.9% stage I, 60.0% stage II, 85.7% stage III, 95.9% stage IV). Esophagus cancer 85.0% overall (12.5% stage I, 64.7% stage II, 94.7% stage III, 100% stage IV). Ovary cancer: 83.1% overall (50.0% stage I, 80.0% stage II, 87.1% stage III, 94.7% stage IV). Liver/bile duct cancer: 93.5% overall (100% stage I, 70.0% stage II, 100% stage III, 100% stage IV).</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Laboratory/Test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GRAIL’s clinical laboratory is certified under the Clinical Laboratory Improvement Amendments of 1988 (CLIA) and accredited by the College of American Pathologists. The Galleri test was developed, and its performance characteristics were determined by GRAIL. The Galleri test has not been cleared or approved by the U.S. Food and Drug Administration. GRAIL’s clinical laboratory is regulated under CLIA to perform high-complexity testing. The Galleri test is intended for clinical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Disclosure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financial results, this press release also includes financial measures that are not calculated in accordance with U.S. generally accepted accounting principles (“GAAP”). Our non-GAAP financial disclosure includes Adjusted Gross Profit (Loss) and Adjusted EBITDA. We encourage investors to carefully consider our results under GAAP in conjunction with our supplemental non-GAAP information and the reconciliation between these presentations.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Gross Profit (Loss)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br/>
        <w:br/>
        <w:t>We calculate Adjusted Gross Profit (Loss) as gross profit (loss) (as defined below) adjusted to exclude amortization of intangible assets and stock-based compensation allocated to cost of revenue. Adjusted Gross Profit (Loss) should be viewed as a measure of operating performance that is a supplement to, and not a substitute for, operating income or loss from operations, net earnings or loss and other GAAP measures of income (loss) or profitability. The following table presents a reconciliation of gross loss, the most directly comparable financial measure calculated in accordance with GAAP, to Adjusted Gross Profit.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br/>
        <w:b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w:t>
        <w:br/>
        <w:b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The following table presents a reconciliation of net loss, the most directly comparable financial measure calculated in accordance with U.S. GAAP, to Adjusted EBITDA on a consolidated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Full reconciliation of these non-GAAP measures to the most comparable GAAP measures is set forth in tabular form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restructuring costs, sufficiency of cash on hand to finance our business, cost savings, budgets and strategies, restructuring and stock-based compensation costs, impact of the restructuring on our operations and growth and anticipated trends in our business.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and numerous associated risks discussed under the sections entitled “Risk Factors” in our Annual Report on Form 10-K for the period ended December 31, 2025 and our Quarterly Report on Form 10-Q for the period ended March 31, 2025. For example, results from our ongoing or future studies, including the final results from our NHS-Galleri trial may be inconsistent with certain results obtained from our completed studies or from interim results initially reported on those studies, including the results reported from the prevalent screening round or our NHS-Galleri Trial. The NHS-Galleri trial was designed as three annual blood draws, plus 12 months follow up, in order to evaluate Galleri’s ability to move forward the stage of cancer diagnosis relative to standard of care (primary endpoint). Cancer screening trials designed to show clinical utility, like the NHS-Galleri trial, are commonly conducted over three years with an annual screening interval, because results can be influenced by the fact that the first screening round detects many prevalent late-stage asymptomatic cancers that have not yet been diagnosed. This and other factors could cause final results of the three year trial to differ from a review of the first round results.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press release to conform our prior statements to actual results or revised expectations or to reflect new information or the occurrence of unanticipated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GRAIL 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Communications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Kristen Davis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Trish Rowland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 Dobbin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Alexis Tosti</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ir@grail.com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36"/>
        <w:gridCol w:w="2201"/>
        <w:gridCol w:w="2202"/>
        <w:gridCol w:w="211"/>
        <w:gridCol w:w="976"/>
        <w:gridCol w:w="109"/>
        <w:gridCol w:w="109"/>
        <w:gridCol w:w="109"/>
        <w:gridCol w:w="109"/>
        <w:gridCol w:w="211"/>
        <w:gridCol w:w="976"/>
        <w:gridCol w:w="156"/>
      </w:tblGrid>
      <w:tr>
        <w:trPr/>
        <w:tc>
          <w:tcPr>
            <w:tcW w:w="283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549,236 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17,447 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727,655 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819,861 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69,061 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66,373 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1,982,306 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2,016,890 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2,847,605 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2,983,307 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Liabilities and stockholders’/member's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57,241 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74,977 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76,925 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305,192 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345,860 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par value of $0.001 per share; 50,000,000 shares authorized, no shares issued and outstanding as of March 31, 2025 and December 31,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$0.001 par value per share, 1,500,000,000 shares authorized, 35,296,858 shares issued and outstanding as of March 31, 2025, 33,893,409 shares issued and outstanding as of December 31,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12,305,250 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(9,803,330)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stockholders'/member’s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stockholders'/member’s equity</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2,983,307 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413"/>
        <w:gridCol w:w="2106"/>
        <w:gridCol w:w="2125"/>
        <w:gridCol w:w="109"/>
        <w:gridCol w:w="109"/>
        <w:gridCol w:w="132"/>
        <w:gridCol w:w="132"/>
        <w:gridCol w:w="256"/>
        <w:gridCol w:w="1094"/>
        <w:gridCol w:w="132"/>
        <w:gridCol w:w="109"/>
        <w:gridCol w:w="109"/>
        <w:gridCol w:w="109"/>
        <w:gridCol w:w="211"/>
        <w:gridCol w:w="900"/>
        <w:gridCol w:w="159"/>
      </w:tblGrid>
      <w:tr>
        <w:trPr/>
        <w:tc>
          <w:tcPr>
            <w:tcW w:w="241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97" w:type="dxa"/>
            <w:gridSpan w:val="6"/>
            <w:tcBorders/>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Screening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screening revenue (exclusive of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development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(146,412)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(224,479)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(218,914)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used in computing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34,308,435 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31,049,148 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6232" w:type="dxa"/>
        <w:jc w:val="left"/>
        <w:tblInd w:w="0" w:type="dxa"/>
        <w:tblLayout w:type="fixed"/>
        <w:tblCellMar>
          <w:top w:w="28" w:type="dxa"/>
          <w:left w:w="28" w:type="dxa"/>
          <w:bottom w:w="28" w:type="dxa"/>
          <w:right w:w="28" w:type="dxa"/>
        </w:tblCellMar>
      </w:tblPr>
      <w:tblGrid>
        <w:gridCol w:w="1000"/>
        <w:gridCol w:w="875"/>
        <w:gridCol w:w="884"/>
        <w:gridCol w:w="109"/>
        <w:gridCol w:w="109"/>
        <w:gridCol w:w="141"/>
        <w:gridCol w:w="141"/>
        <w:gridCol w:w="274"/>
        <w:gridCol w:w="1055"/>
        <w:gridCol w:w="141"/>
        <w:gridCol w:w="109"/>
        <w:gridCol w:w="109"/>
        <w:gridCol w:w="109"/>
        <w:gridCol w:w="211"/>
        <w:gridCol w:w="81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0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Gross loss </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231F20"/>
                <w:sz w:val="18"/>
              </w:rPr>
            </w:pPr>
            <w:r>
              <w:rPr>
                <w:rFonts w:ascii="Arial;sans-serif" w:hAnsi="Arial;sans-serif"/>
                <w:b w:val="false"/>
                <w:color w:val="231F2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Gross profit (loss) is calculated as total revenue less cost of screening revenue (exclusive of amortization of intangible assets), cost of development services revenue and cost of revenue—amortization of intangible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9836" w:type="dxa"/>
        <w:jc w:val="left"/>
        <w:tblInd w:w="0" w:type="dxa"/>
        <w:tblLayout w:type="fixed"/>
        <w:tblCellMar>
          <w:top w:w="28" w:type="dxa"/>
          <w:left w:w="28" w:type="dxa"/>
          <w:bottom w:w="28" w:type="dxa"/>
          <w:right w:w="28" w:type="dxa"/>
        </w:tblCellMar>
      </w:tblPr>
      <w:tblGrid>
        <w:gridCol w:w="2265"/>
        <w:gridCol w:w="1992"/>
        <w:gridCol w:w="2013"/>
        <w:gridCol w:w="109"/>
        <w:gridCol w:w="109"/>
        <w:gridCol w:w="133"/>
        <w:gridCol w:w="133"/>
        <w:gridCol w:w="257"/>
        <w:gridCol w:w="1099"/>
        <w:gridCol w:w="133"/>
        <w:gridCol w:w="109"/>
        <w:gridCol w:w="109"/>
        <w:gridCol w:w="109"/>
        <w:gridCol w:w="211"/>
        <w:gridCol w:w="901"/>
        <w:gridCol w:w="154"/>
      </w:tblGrid>
      <w:tr>
        <w:trPr/>
        <w:tc>
          <w:tcPr>
            <w:tcW w:w="226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93" w:type="dxa"/>
            <w:gridSpan w:val="6"/>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color w:val="231F20"/>
                <w:sz w:val="18"/>
              </w:rPr>
            </w:pPr>
            <w:r>
              <w:rPr>
                <w:rFonts w:ascii="Arial;sans-serif" w:hAnsi="Arial;sans-serif"/>
                <w:b/>
                <w:color w:val="231F2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231F20"/>
                <w:sz w:val="18"/>
              </w:rPr>
            </w:pPr>
            <w:r>
              <w:rPr>
                <w:rFonts w:ascii="Arial;sans-serif" w:hAnsi="Arial;sans-serif"/>
                <w:b w:val="false"/>
                <w:color w:val="231F2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Illumina/GRAIL merger &amp; divestiture legal and professional services costs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31F20"/>
                <w:sz w:val="18"/>
              </w:rPr>
              <w:t xml:space="preserve">Stock-based compensation </w:t>
            </w:r>
            <w:r>
              <w:rPr>
                <w:rFonts w:ascii="Arial;sans-serif" w:hAnsi="Arial;sans-serif"/>
                <w:b w:val="false"/>
                <w:color w:val="231F2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31F20"/>
                <w:sz w:val="18"/>
              </w:rPr>
              <w:t>Restructuring</w:t>
            </w:r>
            <w:r>
              <w:rPr>
                <w:rFonts w:ascii="Arial;sans-serif" w:hAnsi="Arial;sans-serif"/>
                <w:b w:val="false"/>
                <w:color w:val="231F2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(98,735)</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Represents amortization of intangible assets, including developed technology and trade names.</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Represents legal and professional services costs associated with the Acquisition and corresponding antitrust litigation, including compliance with the hold separate arrangements imposed by the European Commission, and legal and professional services costs associated with the divestiture.</w:t>
      </w:r>
    </w:p>
    <w:p>
      <w:pPr>
        <w:pStyle w:val="TextBody"/>
        <w:bidi w:val="0"/>
        <w:spacing w:lineRule="auto" w:line="288" w:before="2"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Represents all stock-based compensation recognized on our</w:t>
      </w:r>
      <w:r>
        <w:rPr>
          <w:color w:val="231F20"/>
        </w:rPr>
        <w:t xml:space="preserve"> </w:t>
      </w:r>
      <w:r>
        <w:rPr>
          <w:rFonts w:ascii="Arial;sans-serif" w:hAnsi="Arial;sans-serif"/>
          <w:b w:val="false"/>
          <w:color w:val="231F20"/>
          <w:sz w:val="16"/>
        </w:rPr>
        <w:t>standalone financial statements for the periods presented.</w:t>
      </w:r>
    </w:p>
    <w:p>
      <w:pPr>
        <w:pStyle w:val="TextBody"/>
        <w:bidi w:val="0"/>
        <w:spacing w:lineRule="auto" w:line="288" w:before="0" w:after="0"/>
        <w:ind w:left="0" w:right="0" w:hanging="360"/>
        <w:jc w:val="left"/>
        <w:rPr/>
      </w:pPr>
      <w:r>
        <w:rPr>
          <w:rFonts w:ascii="Arial;sans-serif" w:hAnsi="Arial;sans-serif"/>
          <w:b w:val="false"/>
          <w:color w:val="000000"/>
          <w:sz w:val="10"/>
        </w:rPr>
        <w:t>(4)</w:t>
      </w:r>
      <w:r>
        <w:rPr>
          <w:rFonts w:ascii="Arial;sans-serif" w:hAnsi="Arial;sans-serif"/>
          <w:b w:val="false"/>
          <w:color w:val="000000"/>
          <w:sz w:val="16"/>
        </w:rPr>
        <w:t>Represents employee severance, benefits, payroll taxes, and other costs associated with the Restructuring Plan.</w:t>
      </w:r>
    </w:p>
    <w:p>
      <w:pPr>
        <w:pStyle w:val="TextBody"/>
        <w:bidi w:val="0"/>
        <w:spacing w:before="1" w:after="283"/>
        <w:ind w:left="0" w:right="0" w:hanging="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3655</Words>
  <Characters>21546</Characters>
  <CharactersWithSpaces>24993</CharactersWithSpaces>
  <Paragraphs>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