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12, 2025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GRAIL,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692" w:type="dxa"/>
        <w:jc w:val="center"/>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001-42045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86-3673636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 Menlo Park, California 94025</w:t>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(833) 694-2553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78"/>
        <w:gridCol w:w="878"/>
        <w:gridCol w:w="124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331"/>
        <w:gridCol w:w="290"/>
        <w:gridCol w:w="293"/>
        <w:gridCol w:w="1152"/>
        <w:gridCol w:w="1152"/>
        <w:gridCol w:w="164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3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12, 2025, GRAIL, Inc. (the “Company” or “GRAIL”) issued a press release announcing its financial results for the third quarter ended September 30, 2025. A copy of the press release is furnished as Exhibit 99.1 to this Current Report on Form 8-K and is incorporated herein by reference.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the exhibits attached hereto are intended to be “furnished” and shall not be deemed “filed” for purposes of Section 18 of the Securities Exchange Act of 1934, as amended. Except as shall be expressly set forth by specific reference in such filing, the information contained herein and in the accompanying exhibits shall not be incorporated by reference into any filing with the Securities and Exchange Commission made by the Company, whether made before or after the date hereof,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5" w:type="dxa"/>
        <w:jc w:val="left"/>
        <w:tblInd w:w="0" w:type="dxa"/>
        <w:tblLayout w:type="fixed"/>
        <w:tblCellMar>
          <w:top w:w="28" w:type="dxa"/>
          <w:left w:w="28" w:type="dxa"/>
          <w:bottom w:w="28" w:type="dxa"/>
          <w:right w:w="28" w:type="dxa"/>
        </w:tblCellMar>
      </w:tblPr>
      <w:tblGrid>
        <w:gridCol w:w="331"/>
        <w:gridCol w:w="290"/>
        <w:gridCol w:w="293"/>
        <w:gridCol w:w="264"/>
        <w:gridCol w:w="264"/>
        <w:gridCol w:w="3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5q3earningspressre.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5q3earningspressre.htm">
              <w:r>
                <w:rPr>
                  <w:rStyle w:val="InternetLink"/>
                  <w:rFonts w:ascii="Times New Roman;serif" w:hAnsi="Times New Roman;serif"/>
                  <w:b w:val="false"/>
                  <w:color w:val="000080"/>
                  <w:sz w:val="20"/>
                </w:rPr>
                <w:t xml:space="preserve">Press Release of GRAIL, Inc. dated </w:t>
              </w:r>
            </w:hyperlink>
            <w:hyperlink w:anchor="ex9912025q3earningspressre.htm">
              <w:r>
                <w:rPr>
                  <w:rStyle w:val="InternetLink"/>
                  <w:rFonts w:ascii="Times New Roman;serif" w:hAnsi="Times New Roman;serif"/>
                  <w:b w:val="false"/>
                  <w:color w:val="000080"/>
                  <w:sz w:val="20"/>
                </w:rPr>
                <w:t>November 1</w:t>
              </w:r>
            </w:hyperlink>
            <w:hyperlink w:anchor="ex9912025q3earningspressre.htm">
              <w:r>
                <w:rPr>
                  <w:rStyle w:val="InternetLink"/>
                  <w:rFonts w:ascii="Times New Roman;serif" w:hAnsi="Times New Roman;serif"/>
                  <w:b w:val="false"/>
                  <w:color w:val="000080"/>
                  <w:sz w:val="20"/>
                </w:rPr>
                <w:t>2</w:t>
              </w:r>
            </w:hyperlink>
            <w:hyperlink w:anchor="ex9912025q3earningspressre.htm">
              <w:r>
                <w:rPr>
                  <w:rStyle w:val="InternetLink"/>
                  <w:rFonts w:ascii="Times New Roman;serif" w:hAnsi="Times New Roman;serif"/>
                  <w:b w:val="false"/>
                  <w:color w:val="000080"/>
                  <w:sz w:val="20"/>
                </w:rPr>
                <w:t xml:space="preserve">, 2025 (GRAIL Reports </w:t>
              </w:r>
            </w:hyperlink>
            <w:hyperlink w:anchor="ex9912025q3earningspressre.htm">
              <w:r>
                <w:rPr>
                  <w:rStyle w:val="InternetLink"/>
                  <w:rFonts w:ascii="Times New Roman;serif" w:hAnsi="Times New Roman;serif"/>
                  <w:b w:val="false"/>
                  <w:color w:val="000080"/>
                  <w:sz w:val="20"/>
                </w:rPr>
                <w:t>Third</w:t>
              </w:r>
            </w:hyperlink>
            <w:hyperlink w:anchor="ex9912025q3earningspressre.htm">
              <w:r>
                <w:rPr>
                  <w:rStyle w:val="InternetLink"/>
                  <w:rFonts w:ascii="Times New Roman;serif" w:hAnsi="Times New Roman;serif"/>
                  <w:b w:val="false"/>
                  <w:color w:val="000080"/>
                  <w:sz w:val="20"/>
                </w:rPr>
                <w:t xml:space="preserve"> Quarter 2025 Financial Results)</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23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210"/>
        <w:gridCol w:w="210"/>
        <w:gridCol w:w="210"/>
        <w:gridCol w:w="581"/>
        <w:gridCol w:w="581"/>
        <w:gridCol w:w="8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GRAIL,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009775" cy="3714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009775" cy="3714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330E74"/>
          <w:sz w:val="28"/>
        </w:rPr>
        <w:t>NEWS RELEASE</w:t>
      </w:r>
      <w:r>
        <w:rPr>
          <w:color w:val="4C16AE"/>
        </w:rPr>
        <w:t>    </w:t>
      </w: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GRAIL Reports Third Quarter 2025 Financial Results</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i/>
          <w:color w:val="000000"/>
          <w:sz w:val="22"/>
        </w:rPr>
        <w:t xml:space="preserve">Q3 U.S. Galleri Revenue Grew </w:t>
      </w:r>
      <w:r>
        <w:rPr>
          <w:rFonts w:ascii="Arial;sans-serif" w:hAnsi="Arial;sans-serif"/>
          <w:b/>
          <w:color w:val="000000"/>
          <w:sz w:val="22"/>
        </w:rPr>
        <w:t>28%</w:t>
      </w:r>
      <w:r>
        <w:rPr>
          <w:color w:val="000000"/>
        </w:rPr>
        <w:t xml:space="preserve"> </w:t>
      </w:r>
      <w:r>
        <w:rPr>
          <w:rFonts w:ascii="Arial;sans-serif" w:hAnsi="Arial;sans-serif"/>
          <w:b/>
          <w:i/>
          <w:color w:val="000000"/>
          <w:sz w:val="22"/>
        </w:rPr>
        <w:t xml:space="preserve">Year-Over-Year to </w:t>
      </w:r>
      <w:r>
        <w:rPr>
          <w:rFonts w:ascii="Arial;sans-serif" w:hAnsi="Arial;sans-serif"/>
          <w:b/>
          <w:color w:val="000000"/>
          <w:sz w:val="22"/>
        </w:rPr>
        <w:t>$32.6 Million</w:t>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Q3 Galleri Tests Sold Grew 39% Year-Over-Year to More Than 45,000</w:t>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Galleri PMA Submission to FDA Now Anticipated in Q126</w:t>
      </w:r>
    </w:p>
    <w:p>
      <w:pPr>
        <w:pStyle w:val="TextBody"/>
        <w:bidi w:val="0"/>
        <w:spacing w:lineRule="auto" w:line="288" w:before="0" w:after="240"/>
        <w:jc w:val="center"/>
        <w:rPr>
          <w:rFonts w:ascii="Arial;sans-serif" w:hAnsi="Arial;sans-serif"/>
          <w:b/>
          <w:i/>
          <w:color w:val="000000"/>
          <w:sz w:val="22"/>
        </w:rPr>
      </w:pPr>
      <w:r>
        <w:rPr>
          <w:rFonts w:ascii="Arial;sans-serif" w:hAnsi="Arial;sans-serif"/>
          <w:b/>
          <w:i/>
          <w:color w:val="000000"/>
          <w:sz w:val="22"/>
        </w:rPr>
        <w:t>Cash Position of More Than $850 Million Includes Recently Completed Private Placement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MENLO PARK, Calif. — Nov. 12, 2025 — GRAIL, Inc. (Nasdaq: GRAL), a healthcare company whose mission is to detect cancer early when it can be cured, today reported business and financial results for the third quarter of 2025.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Total revenue in the third quarter grew 26% year-over-year to $36.2 million, and Galleri revenue grew 29% year-over-year to $32.8 million. U.S. Galleri revenue was $32.6 million, representing 28% growth year-over-year. Net loss for the quarter was $89.0 million. Gross loss was $13.7 million. Non-GAAP adjusted gross profit was $20.0 million, and non-GAAP adjusted EBITDA was $(71.7) million.</w:t>
      </w:r>
      <w:r>
        <w:rPr>
          <w:rFonts w:ascii="Arial;sans-serif" w:hAnsi="Arial;sans-serif"/>
          <w:b w:val="false"/>
          <w:color w:val="000000"/>
          <w:sz w:val="13"/>
        </w:rPr>
        <w:t>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remain very pleased by Galleri’s commercial uptake with 39% growth in Galleri test volume in the third quarter. Our teams continue to build awareness of Galleri among providers and patients, and recent data from our registrational PATHFINDER 2 study adds to the evidence base," said Bob Ragusa, Chief Executive Officer at GRAIL. “We have also made key recent strides in opportunities beyond the U.S., led by our strategic collaboration with Samsung to bring Galleri to key Asian markets, as well as Galleri's commercial introduction in Canada. Looking ahead, we anticipate completing our PMA submission for Galleri to the FDA in the first quarter of 2026.”</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three months ended September 30, 2025, as compared to the three months ended September 30, 2024, GRAIL reported:</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Total revenue, comprised of screening and development services revenue, was $36.2 million, an increase of $7.5 million or 26%.</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Net loss:</w:t>
      </w:r>
      <w:r>
        <w:rPr>
          <w:color w:val="000000"/>
        </w:rPr>
        <w:t xml:space="preserve"> </w:t>
      </w:r>
      <w:r>
        <w:rPr>
          <w:rFonts w:ascii="Arial;sans-serif" w:hAnsi="Arial;sans-serif"/>
          <w:b w:val="false"/>
          <w:color w:val="000000"/>
          <w:sz w:val="20"/>
        </w:rPr>
        <w:t>Net loss was $89.0 million, an improvement of $36.7 million or 29%.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Gross loss:</w:t>
      </w:r>
      <w:r>
        <w:rPr>
          <w:color w:val="000000"/>
        </w:rPr>
        <w:t xml:space="preserve"> </w:t>
      </w:r>
      <w:r>
        <w:rPr>
          <w:rFonts w:ascii="Arial;sans-serif" w:hAnsi="Arial;sans-serif"/>
          <w:b w:val="false"/>
          <w:color w:val="000000"/>
          <w:sz w:val="20"/>
        </w:rPr>
        <w:t>Gross loss was $13.7 million, an improvement of $8.5 million or 38%.</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gross profit</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gross profit was $20.0 million, an increase of $8.2 million or 69%.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EBITDA</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EBITDA was $(71.7) million, an improvement of $36.5 million or 34%.</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 xml:space="preserve">Cash position: </w:t>
      </w:r>
      <w:r>
        <w:rPr>
          <w:rFonts w:ascii="Arial;sans-serif" w:hAnsi="Arial;sans-serif"/>
          <w:b w:val="false"/>
          <w:color w:val="000000"/>
          <w:sz w:val="20"/>
        </w:rPr>
        <w:t>Cash, cash equivalents, restricted cash and short-term marketable securities totaled $547.1 million as of September 30, 2025.</w:t>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Disclosure” and the associated reconciliations for important information about our use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Recent business highlights include:</w:t>
      </w:r>
    </w:p>
    <w:p>
      <w:pPr>
        <w:pStyle w:val="TextBody"/>
        <w:bidi w:val="0"/>
        <w:spacing w:before="0" w:after="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Positive results from PATHFINDER 2 and SYMPLIFY studies add to the evidence base for the effectiveness of multi-cancer early detection.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Positive detailed performance and safety results from the pre-specified analysis of the first approximately 25,000 participants in the registrational PATHFINDER 2 study were presented at the European Society of Medical Oncology (“ESMO”) Congress 2025 in October: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Adding Galleri to recommended screenings for breast, cervical, colorectal, and lung cancers (USPSTF A and B recommendations) led to a more than seven-fold increase in the number of cancers found within a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Galleri detected approximately three times as many cancers when added to standard-of-care screening for breast, cervical, colorectal, lung, and prostate cancers (USPSTF A, B, and C recommendations)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Approximately three-quarters of the cancers detected by Galleri do not have standard of care screening options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More than half of the new cancers detected by Galleri were stage 1 or 2 and more than two-thirds were detected at stages 1-3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Galleri positive predictive value (“PPV”), or the likelihood of receiving a cancer diagnosis following a positive test result, was 61.6%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Specificity was 99.6%, translating to a false positive rate of 0.4%</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Cancer signal of origin accuracy was 92%, leading to efficient diagnostic workups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Diagnostic resolution took a median of 46 days, and only 0.6% of all participants had an invasive procedure and invasive procedures were two times more common in participants with cancer than in those without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No serious, study-related adverse events were reported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Positive long-term results from an extended registry follow-up of the SYMPLIFY study with the University of Oxford were presented at the Early Detection of Cancer Conference (“EDCC”) in October. A previous primary analysis, published in </w:t>
      </w:r>
      <w:r>
        <w:rPr>
          <w:rFonts w:ascii="Arial;sans-serif" w:hAnsi="Arial;sans-serif"/>
          <w:b w:val="false"/>
          <w:i/>
          <w:color w:val="000000"/>
          <w:sz w:val="20"/>
        </w:rPr>
        <w:t>The Lancet Oncology</w:t>
      </w:r>
      <w:r>
        <w:rPr>
          <w:rFonts w:ascii="Arial;sans-serif" w:hAnsi="Arial;sans-serif"/>
          <w:b w:val="false"/>
          <w:color w:val="000000"/>
          <w:sz w:val="20"/>
        </w:rPr>
        <w:t xml:space="preserve">, followed participants until diagnostic resolution or up to nine months and demonstrated Galleri's PPV was 75.5%. Patients reported to have a false positive Galleri result were followed for 24 months in national cancer registries for England and Wales.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updated analysis presented at EDCC showed that approximately one-third of participants initially believed to have a false positive result were later diagnosed with cancer during the subsequent follow up period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This reduction in false positives resulted in an increase of Galleri’s PPV in this symptomatic population to 84.2%</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Announced a collaboration with Medcan, a global leader in proactive health and wellness services, to provide access to the Galleri test at Medcan’s clinics. Additionally, Manulife Canada announced it now offers access to Galleri, in partnership with Medcan, to eligible life insurance customers through its innovative Manulife Vitality program.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Announced a strategic collaboration with Samsung in October to bring the Galleri test to key Asian markets. Subject to execution of definitive agreements, the parties will work as exclusive partners to commercialize Galleri in Korea, and possibly other key Asian markets, including Japan and Singapore. In addition, the parties intend to explore potential additional strategic and operational collaborations. Samsung has also agreed to make an equity investment of $110 million in GRAIL, subject to closing conditions.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Completed a private placement of equity in October resulting in gross proceeds of approximately $325 million, before deducting placement agents' fees and other expenses. Including proceeds from this transaction, GRAIL’s cash position of more than $850 million provides runway into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w:t>
      </w:r>
    </w:p>
    <w:p>
      <w:pPr>
        <w:pStyle w:val="TextBody"/>
        <w:bidi w:val="0"/>
        <w:spacing w:lineRule="auto" w:line="288" w:before="0" w:after="0"/>
        <w:jc w:val="left"/>
        <w:rPr/>
      </w:pPr>
      <w:r>
        <w:rPr>
          <w:rFonts w:ascii="Arial;sans-serif" w:hAnsi="Arial;sans-serif"/>
          <w:b w:val="false"/>
          <w:color w:val="000000"/>
          <w:sz w:val="20"/>
        </w:rPr>
        <w:t>A webcast and conference call will be held today,</w:t>
      </w:r>
      <w:r>
        <w:rPr>
          <w:color w:val="000000"/>
        </w:rPr>
        <w:t xml:space="preserve"> </w:t>
      </w:r>
      <w:r>
        <w:rPr>
          <w:rFonts w:ascii="Arial;sans-serif" w:hAnsi="Arial;sans-serif"/>
          <w:b w:val="false"/>
          <w:color w:val="000000"/>
          <w:sz w:val="20"/>
        </w:rPr>
        <w:t>Nov. 12, 2025, at 1:30 p.m. PT / 4:30 p.m. ET. Individuals interested in listening to the conference call may access it on the investor relations section of GRAIL’s website at investors.grail.com.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replay of the webcast will be available on GRAIL’s website for 30 days.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GRAIL Analyst Day 2025 Tomorrow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GRAIL will host its Analyst Day 2025 tomorrow, Nov. 13, 2025, at the Company’s central laboratories in Research Triangle Park, North Carolina beginning at 8:00 a.m. PT / 11:00 a.m. 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 webcast and recorded replay will be available at the investor relations section of GRAIL’s website at investors.grail.com and at https://grail-analyst-day-2025.open-exchange.net/registration.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GRAIL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GRAIL, Inc. is a healthcare company whose mission is to detect cancer early, when it can be cured. GRAIL is focused on alleviating the global burden of cancer by using the power of next-generation sequencing, population-scale clinical studies, and state-of-the-art machine learning, software, and automation to detect and identify multiple deadly cancer types in earlier stages. GRAIL’s targeted methylation-based platform can support the continuum of care for screening and precision oncology, including multi-cancer early detection in symptomatic patients, risk stratification, minimal residual disease detection, biomarker subtyping, treatment and recurrence monitoring. GRAIL is headquartered in Menlo Park, CA with locations in Washington, D.C., North Carolina, and the United Kingdom. GRAIL’s common stock is listed under the ticker symbol “GRAL” on the NASDAQ Stock Exchange.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grail.com</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Galleri®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Galleri multi-cancer early detection test is a proactive tool to screen for cancer. With a simple blood draw, the Galleri test can identify DNA shed by cancer cells, which can act as a unique "fingerprint" of cancer, to help screen for some of the deadliest cancers that don’t have recommended screening today, such as pancreatic, esophageal, ovarian, liver, and others. The Galleri test can be used to screen for cancer before a person becomes symptomatic, when cancer may be more easily treated and potentially curable. The Galleri test can indicate the origin of the cancer, giving healthcare providers a roadmap of where to explore further. The Galleri test requires a prescription from a licensed healthcare provider and should be used in addition to recommended cancer screenings such as mammography, colonoscopy, prostate-specific antigen (PSA) test, or cervical cancer screening. The Galleri test is recommended for adults with an elevated risk for cancer, such as those aged 50 or older.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galleri.com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Laboratory/Test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GRAIL’s clinical laboratory is certified under the Clinical Laboratory Improvement Amendments of 1988 (CLIA) and accredited by the College of American Pathologists. The Galleri test was developed, and its performance characteristics were determined by GRAIL. The Galleri test has not been cleared or approved by the U.S. Food and Drug Administration. GRAIL’s clinical laboratory is regulated under CLIA to perform high-complexity testing. The Galleri test is intended for clinical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Disclosure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financial results provided throughout this press release that are determined in accordance with U.S. generally accepted accounting principles (“GAAP”), this press release also includes financial measures that are not calculated in accordance with GAAP. Our non-GAAP financial disclosure includes Adjusted Gross Profit (Loss) and Adjusted EBITDA. We encourage investors to carefully consider our results under GAAP in conjunction with our supplemental non-GAAP information and the reconciliation between these presentations.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Gross Profit (Loss)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and depreciation and amortization, and the impact of our financing methods and income taxes.</w:t>
        <w:br/>
        <w:br/>
        <w:t>We calculate Adjusted Gross Profit (Loss) as gross profit (loss) (as defined below) adjusted to exclude amortization of intangible assets and stock-based compensation allocated to cost of revenue. Adjusted Gross Profit (Loss) should be viewed as a measure of operating performance that is a supplement to, and not a substitute for, operating income or loss from operations, net earnings or loss and other GAAP measures of income (loss) or profitability. The following table presents a reconciliation of gross loss, the most directly comparable financial measure calculated in accordance with GAAP, to Adjusted Gross Profit.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br/>
        <w:br/>
        <w:t xml:space="preserve">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calculate Adjusted EBITDA as net income (loss) adjusted to exclude interest (income) expense, income tax expense (benefit), depreciation, impairment of goodwill and intangible assets, and amortization of intangible assets, which represent intangible assets resulting from pushdown accounting, legal and professional services fees related to Illumina’s acquisition of the Company in August 2021 (“the Acquisition”) and corresponding antitrust litigation, including compliance with the hold separate arrangements imposed by the European Commission, and our divestment from Illumina, restructuring charges, and stock-based compensation. We believe that the items subject to these further adjustments are not indicative of our ongoing operations due to their nature, especially considering the impact of certain items as a result of the Acquisition.</w:t>
        <w:br/>
        <w:b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The following table presents a reconciliation of net loss, the most directly comparable financial measure calculated in accordance with U.S. GAAP, to Adjusted EBITDA on a consolidated basis.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Full reconciliation of these non-GAAP measures to the most comparable GAAP measures is set forth in tabular form below</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patient awareness of our products, technology, clinical studies, safety results, regulatory compliance, potential market opportunity, anticipated growth strategies, restructuring costs, sufficiency of cash on hand to finance our business, cost savings, budgets and strategies, satisfaction of closing conditions and negotiation of definitive agreements in the Samsung collaboration, and growth and anticipated trends in our business.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and numerous associated risks discussed under the sections entitled “Risk Factors” in our Annual Report on Form 10-K for the period ended December 31, 2024 and in our Quarterly Reports on Form 10-Q for the periods ended March 31, 2025, June 30, 2025 and September 30, 2025.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press release to conform our prior statements to actual results or revised expectations or to reflect new information or the occurrence of unanticipated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GRAIL 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Communications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Kristen Davis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Trish Rowland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 Dobbin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Alexis Tosti</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ir@grail.com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39"/>
        <w:gridCol w:w="2200"/>
        <w:gridCol w:w="2200"/>
        <w:gridCol w:w="211"/>
        <w:gridCol w:w="976"/>
        <w:gridCol w:w="109"/>
        <w:gridCol w:w="109"/>
        <w:gridCol w:w="109"/>
        <w:gridCol w:w="109"/>
        <w:gridCol w:w="211"/>
        <w:gridCol w:w="976"/>
        <w:gridCol w:w="156"/>
      </w:tblGrid>
      <w:tr>
        <w:trPr/>
        <w:tc>
          <w:tcPr>
            <w:tcW w:w="283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413,238 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549,236 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17,447 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589,381 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819,861 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69,061 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66,373 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1,885,140 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2,016,890 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2,601,031 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2,983,307 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57,241 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77,433 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76,925 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345,860 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par value of $0.001 per share; 50,000,000 shares authorized, no shares issued and outstanding as of September 30, 2025 and December 31,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$0.001 par value per share, 1,500,000,000 shares authorized, 36,160,998 shares issued and outstanding as of September 30, 2025, 33,893,409 shares issued and outstanding as of December 31,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12,305,250 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(9,803,330)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2,983,307 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36"/>
        <w:gridCol w:w="1229"/>
        <w:gridCol w:w="1241"/>
        <w:gridCol w:w="232"/>
        <w:gridCol w:w="863"/>
        <w:gridCol w:w="114"/>
        <w:gridCol w:w="109"/>
        <w:gridCol w:w="109"/>
        <w:gridCol w:w="109"/>
        <w:gridCol w:w="212"/>
        <w:gridCol w:w="888"/>
        <w:gridCol w:w="109"/>
        <w:gridCol w:w="109"/>
        <w:gridCol w:w="109"/>
        <w:gridCol w:w="109"/>
        <w:gridCol w:w="212"/>
        <w:gridCol w:w="888"/>
        <w:gridCol w:w="109"/>
        <w:gridCol w:w="109"/>
        <w:gridCol w:w="109"/>
        <w:gridCol w:w="109"/>
        <w:gridCol w:w="211"/>
        <w:gridCol w:w="1021"/>
        <w:gridCol w:w="159"/>
      </w:tblGrid>
      <w:tr>
        <w:trPr/>
        <w:tc>
          <w:tcPr>
            <w:tcW w:w="173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Screening 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services revenue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operating expenses:</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screening revenue (exclusive of amortization of intangible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development services revenue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amortization of intangible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100,417 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274,052 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123,433 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171,745 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assets impairment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1,420,936 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2,139,563 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(2,052,220)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(118,718)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(2,035,367)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(1,929,939)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used in computing net loss per share: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36,124,256 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31,880,054 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31,326,117 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8748" w:type="dxa"/>
        <w:jc w:val="left"/>
        <w:tblInd w:w="0" w:type="dxa"/>
        <w:tblLayout w:type="fixed"/>
        <w:tblCellMar>
          <w:top w:w="28" w:type="dxa"/>
          <w:left w:w="28" w:type="dxa"/>
          <w:bottom w:w="28" w:type="dxa"/>
          <w:right w:w="28" w:type="dxa"/>
        </w:tblCellMar>
      </w:tblPr>
      <w:tblGrid>
        <w:gridCol w:w="1015"/>
        <w:gridCol w:w="890"/>
        <w:gridCol w:w="899"/>
        <w:gridCol w:w="232"/>
        <w:gridCol w:w="878"/>
        <w:gridCol w:w="120"/>
        <w:gridCol w:w="109"/>
        <w:gridCol w:w="109"/>
        <w:gridCol w:w="109"/>
        <w:gridCol w:w="232"/>
        <w:gridCol w:w="878"/>
        <w:gridCol w:w="120"/>
        <w:gridCol w:w="109"/>
        <w:gridCol w:w="109"/>
        <w:gridCol w:w="109"/>
        <w:gridCol w:w="229"/>
        <w:gridCol w:w="882"/>
        <w:gridCol w:w="118"/>
        <w:gridCol w:w="109"/>
        <w:gridCol w:w="109"/>
        <w:gridCol w:w="109"/>
        <w:gridCol w:w="228"/>
        <w:gridCol w:w="879"/>
        <w:gridCol w:w="167"/>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Gross loss</w:t>
            </w:r>
            <w:r>
              <w:rPr>
                <w:color w:val="000000"/>
              </w:rPr>
              <w:t xml:space="preserve"> </w:t>
            </w:r>
            <w:r>
              <w:rPr>
                <w:rFonts w:ascii="Arial;sans-serif" w:hAnsi="Arial;sans-serif"/>
                <w:b/>
                <w:color w:val="000000"/>
                <w:sz w:val="12"/>
              </w:rPr>
              <w:t>(1)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(62,054)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Amortization of intangible assets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Stock-based compensation </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Gross Profit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39,885 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before="0" w:after="0"/>
        <w:jc w:val="left"/>
        <w:rPr/>
      </w:pPr>
      <w:r>
        <w:rPr/>
      </w:r>
    </w:p>
    <w:p>
      <w:pPr>
        <w:pStyle w:val="TextBody"/>
        <w:bidi w:val="0"/>
        <w:spacing w:lineRule="auto" w:line="288"/>
        <w:ind w:left="0" w:right="0" w:hanging="360"/>
        <w:jc w:val="left"/>
        <w:rPr/>
      </w:pPr>
      <w:r>
        <w:rPr>
          <w:rFonts w:ascii="Arial;sans-serif" w:hAnsi="Arial;sans-serif"/>
          <w:b w:val="false"/>
          <w:color w:val="000000"/>
          <w:sz w:val="13"/>
        </w:rPr>
        <w:t>(1)</w:t>
      </w:r>
      <w:r>
        <w:rPr>
          <w:rFonts w:ascii="Arial;sans-serif" w:hAnsi="Arial;sans-serif"/>
          <w:b w:val="false"/>
          <w:color w:val="000000"/>
          <w:sz w:val="16"/>
        </w:rPr>
        <w:t>Gross loss is calculated as total revenue less cost of screening revenue (exclusive of amortization of intangible assets), cost of development services revenue and cost of revenue—amortization of intangible assets.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1661"/>
        <w:gridCol w:w="1296"/>
        <w:gridCol w:w="1310"/>
        <w:gridCol w:w="223"/>
        <w:gridCol w:w="820"/>
        <w:gridCol w:w="115"/>
        <w:gridCol w:w="109"/>
        <w:gridCol w:w="109"/>
        <w:gridCol w:w="109"/>
        <w:gridCol w:w="211"/>
        <w:gridCol w:w="880"/>
        <w:gridCol w:w="109"/>
        <w:gridCol w:w="109"/>
        <w:gridCol w:w="109"/>
        <w:gridCol w:w="109"/>
        <w:gridCol w:w="211"/>
        <w:gridCol w:w="880"/>
        <w:gridCol w:w="109"/>
        <w:gridCol w:w="109"/>
        <w:gridCol w:w="109"/>
        <w:gridCol w:w="109"/>
        <w:gridCol w:w="211"/>
        <w:gridCol w:w="1026"/>
        <w:gridCol w:w="162"/>
      </w:tblGrid>
      <w:tr>
        <w:trPr/>
        <w:tc>
          <w:tcPr>
            <w:tcW w:w="166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2024</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(1,929,939)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to exclude the following:</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 expense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intangible assets</w:t>
            </w:r>
            <w:r>
              <w:rPr>
                <w:color w:val="000000"/>
              </w:rPr>
              <w:t xml:space="preserve"> </w:t>
            </w:r>
            <w:r>
              <w:rPr>
                <w:rFonts w:ascii="Arial;sans-serif" w:hAnsi="Arial;sans-serif"/>
                <w:b w:val="false"/>
                <w:color w:val="000000"/>
                <w:sz w:val="12"/>
              </w:rPr>
              <w:t xml:space="preserve">(1) </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pPr>
            <w:r>
              <w:rPr>
                <w:rFonts w:ascii="Arial;sans-serif" w:hAnsi="Arial;sans-serif"/>
                <w:b w:val="false"/>
                <w:color w:val="000000"/>
                <w:sz w:val="18"/>
              </w:rPr>
              <w:t xml:space="preserve">Goodwill and intangible impairment </w:t>
            </w:r>
            <w:r>
              <w:rPr>
                <w:rFonts w:ascii="Arial;sans-serif" w:hAnsi="Arial;sans-serif"/>
                <w:b w:val="false"/>
                <w:color w:val="000000"/>
                <w:sz w:val="12"/>
              </w:rPr>
              <w:t>(2)</w:t>
            </w:r>
            <w:r>
              <w:rPr>
                <w:color w:val="000000"/>
              </w:rPr>
              <w:t xml:space="preserve"> </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1,420,936 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pPr>
            <w:r>
              <w:rPr>
                <w:rFonts w:ascii="Arial;sans-serif" w:hAnsi="Arial;sans-serif"/>
                <w:b w:val="false"/>
                <w:color w:val="000000"/>
                <w:sz w:val="18"/>
              </w:rPr>
              <w:t xml:space="preserve">Illumina/GRAIL merger &amp; divestiture legal and professional services costs </w:t>
            </w:r>
            <w:r>
              <w:rPr>
                <w:rFonts w:ascii="Arial;sans-serif" w:hAnsi="Arial;sans-serif"/>
                <w:b w:val="false"/>
                <w:color w:val="000000"/>
                <w:sz w:val="12"/>
              </w:rPr>
              <w:t>(3)</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(4)</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w:t>
            </w:r>
            <w:r>
              <w:rPr>
                <w:rFonts w:ascii="Arial;sans-serif" w:hAnsi="Arial;sans-serif"/>
                <w:b w:val="false"/>
                <w:color w:val="000000"/>
                <w:sz w:val="12"/>
              </w:rPr>
              <w:t>(5)</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(71,704)</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(248,761)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(399,516)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Represents amortization of intangible assets, including developed technology and trade names.</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impairment of goodwill and intangible assets recognized as a result of the Acquisition.</w:t>
      </w:r>
    </w:p>
    <w:p>
      <w:pPr>
        <w:pStyle w:val="TextBody"/>
        <w:bidi w:val="0"/>
        <w:spacing w:lineRule="auto" w:line="288" w:before="0" w:after="0"/>
        <w:ind w:left="0" w:right="0" w:hanging="360"/>
        <w:jc w:val="left"/>
        <w:rPr/>
      </w:pPr>
      <w:r>
        <w:rPr>
          <w:rFonts w:ascii="Arial;sans-serif" w:hAnsi="Arial;sans-serif"/>
          <w:b w:val="false"/>
          <w:color w:val="000000"/>
          <w:sz w:val="10"/>
        </w:rPr>
        <w:t>(3)</w:t>
      </w:r>
      <w:r>
        <w:rPr>
          <w:rFonts w:ascii="Arial;sans-serif" w:hAnsi="Arial;sans-serif"/>
          <w:b w:val="false"/>
          <w:color w:val="000000"/>
          <w:sz w:val="16"/>
        </w:rPr>
        <w:t>Represents legal and professional services costs associated with the Acquisition and corresponding antitrust litigation, including compliance with the hold separate arrangements imposed by the European Commission, and legal and professional services costs associated with the divestiture.</w:t>
      </w:r>
    </w:p>
    <w:p>
      <w:pPr>
        <w:pStyle w:val="TextBody"/>
        <w:bidi w:val="0"/>
        <w:spacing w:lineRule="auto" w:line="288" w:before="2"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Represents all stock-based compensation recognized on our</w:t>
      </w:r>
      <w:r>
        <w:rPr>
          <w:color w:val="231F20"/>
        </w:rPr>
        <w:t xml:space="preserve"> </w:t>
      </w:r>
      <w:r>
        <w:rPr>
          <w:rFonts w:ascii="Arial;sans-serif" w:hAnsi="Arial;sans-serif"/>
          <w:b w:val="false"/>
          <w:color w:val="231F20"/>
          <w:sz w:val="16"/>
        </w:rPr>
        <w:t>standalone financial statements for the periods presented.</w:t>
      </w:r>
    </w:p>
    <w:p>
      <w:pPr>
        <w:pStyle w:val="TextBody"/>
        <w:bidi w:val="0"/>
        <w:spacing w:lineRule="auto" w:line="288" w:before="0" w:after="0"/>
        <w:ind w:left="0" w:right="0" w:hanging="360"/>
        <w:jc w:val="left"/>
        <w:rPr/>
      </w:pPr>
      <w:r>
        <w:rPr>
          <w:rFonts w:ascii="Arial;sans-serif" w:hAnsi="Arial;sans-serif"/>
          <w:b w:val="false"/>
          <w:color w:val="000000"/>
          <w:sz w:val="10"/>
        </w:rPr>
        <w:t>(5)</w:t>
      </w:r>
      <w:r>
        <w:rPr>
          <w:rFonts w:ascii="Arial;sans-serif" w:hAnsi="Arial;sans-serif"/>
          <w:b w:val="false"/>
          <w:color w:val="000000"/>
          <w:sz w:val="16"/>
        </w:rPr>
        <w:t>Represents employee severance, benefits, payroll taxes, and other costs associated with the Restructuring Plan.</w:t>
      </w:r>
    </w:p>
    <w:p>
      <w:pPr>
        <w:pStyle w:val="TextBody"/>
        <w:bidi w:val="0"/>
        <w:spacing w:before="0" w:after="0"/>
        <w:jc w:val="left"/>
        <w:rPr/>
      </w:pPr>
      <w:r>
        <w:rPr/>
      </w:r>
    </w:p>
    <w:p>
      <w:pPr>
        <w:pStyle w:val="TextBody"/>
        <w:bidi w:val="0"/>
        <w:spacing w:before="1" w:after="283"/>
        <w:ind w:left="0" w:right="0" w:hanging="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3867</Words>
  <Characters>22822</Characters>
  <CharactersWithSpaces>26432</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