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5820.xml.htm"/>
      <w:bookmarkStart w:id="1" w:name="kswkform4_17901958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Ofman Joshua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GRAIL,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S. MATHILDA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GRAIL, Inc.</w:t>
              </w:r>
            </w:hyperlink>
            <w:r>
              <w:rPr/>
              <w:t xml:space="preserve"> [ </w:t>
            </w:r>
            <w:r>
              <w:rPr>
                <w:rFonts w:ascii="Times;serif" w:hAnsi="Times;serif"/>
                <w:color w:val="0000FF"/>
                <w:sz w:val="24"/>
                <w:shd w:fill="FFFFFF" w:val="clear"/>
              </w:rPr>
              <w:t>GRAL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4"/>
        <w:gridCol w:w="928"/>
        <w:gridCol w:w="797"/>
        <w:gridCol w:w="616"/>
        <w:gridCol w:w="343"/>
        <w:gridCol w:w="917"/>
        <w:gridCol w:w="474"/>
        <w:gridCol w:w="1102"/>
        <w:gridCol w:w="1124"/>
        <w:gridCol w:w="973"/>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26,452</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423,723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92.3152</w:t>
            </w: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421,598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93.606</w:t>
            </w: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420,144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37,752</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94.9828</w:t>
            </w:r>
            <w:r>
              <w:rPr>
                <w:rFonts w:ascii="Times;serif" w:hAnsi="Times;serif"/>
                <w:color w:val="008000"/>
                <w:position w:val="7"/>
                <w:sz w:val="16"/>
                <w:sz w:val="20"/>
                <w:shd w:fill="FFFFFF" w:val="clear"/>
              </w:rPr>
              <w:t>(4)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382,392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96.4308</w:t>
            </w:r>
            <w:r>
              <w:rPr>
                <w:rFonts w:ascii="Times;serif" w:hAnsi="Times;serif"/>
                <w:color w:val="008000"/>
                <w:position w:val="7"/>
                <w:sz w:val="16"/>
                <w:sz w:val="20"/>
                <w:shd w:fill="FFFFFF" w:val="clear"/>
              </w:rPr>
              <w:t>(5)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376,192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97.8414</w:t>
            </w:r>
            <w:r>
              <w:rPr>
                <w:rFonts w:ascii="Times;serif" w:hAnsi="Times;serif"/>
                <w:color w:val="008000"/>
                <w:position w:val="7"/>
                <w:sz w:val="16"/>
                <w:sz w:val="20"/>
                <w:shd w:fill="FFFFFF" w:val="clear"/>
              </w:rPr>
              <w:t>(6)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374,792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99.8499</w:t>
            </w:r>
            <w:r>
              <w:rPr>
                <w:rFonts w:ascii="Times;serif" w:hAnsi="Times;serif"/>
                <w:color w:val="008000"/>
                <w:position w:val="7"/>
                <w:sz w:val="16"/>
                <w:sz w:val="20"/>
                <w:shd w:fill="FFFFFF" w:val="clear"/>
              </w:rPr>
              <w:t>(7)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374,371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100.6805</w:t>
            </w:r>
            <w:r>
              <w:rPr>
                <w:rFonts w:ascii="Times;serif" w:hAnsi="Times;serif"/>
                <w:color w:val="008000"/>
                <w:position w:val="7"/>
                <w:sz w:val="16"/>
                <w:sz w:val="20"/>
                <w:shd w:fill="FFFFFF" w:val="clear"/>
              </w:rPr>
              <w:t>(8)</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372,271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362,271</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transactions reported in this Form 4 are made pursuant to a Rule 10b5-1 trading plan adopted on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$92.04 to $92.93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$93.04 to $93.90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$94.5 to $95.00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$96.00 to $96.71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$97.74 to $98.00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$99.42 to $100.28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$100.68 to $100.69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an option originally granted on March 6, 2020 for which the performance condition was determined to be met on November 1, 2024. The option vests and becomes exercisable in thirty-six substantially equal monthly installments beginning December 1, 2024. As of September 21, 2026, approximately 61% of the shares subject to the option had vested, and the remaining approximately 39% of the shares vests over the remaining period afterwards.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/s/Abram Barth, as Attorney-in-Fact for Joshua Ofman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2088" TargetMode="External"/><Relationship Id="rId5" Type="http://schemas.openxmlformats.org/officeDocument/2006/relationships/hyperlink" Target="http://www.sec.gov/cgi-bin/browse-edgar?action=getcompany&amp;CIK=0001699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1268</Words>
  <Characters>6691</Characters>
  <CharactersWithSpaces>7806</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