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4625.xml.htm"/>
      <w:bookmarkStart w:id="1" w:name="kswkform4_17842346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SUMME GREGORY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GRAIL,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GRAIL,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74.36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45,672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427 deferred stock units granted to Mr. Summe under our deferred stock program and 2024 Equity Incentive Plan in lieu of $31,787.67 of cash fees payable to Mr. Summe for his service as a director, based on a price per share of $74.36, which was the closing price per share of the Company's common stock on July 15, 2026. The awards will vest immediately upon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/s/Donald Lang, as Attorney-in-Fact for Gregory Summe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43422" TargetMode="External"/><Relationship Id="rId5" Type="http://schemas.openxmlformats.org/officeDocument/2006/relationships/hyperlink" Target="http://www.sec.gov/cgi-bin/browse-edgar?action=getcompany&amp;CIK=00016990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3372</Characters>
  <CharactersWithSpaces>3944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