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18, 2026</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GRAIL,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12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tbl>
      <w:tblPr>
        <w:tblW w:w="4692" w:type="dxa"/>
        <w:jc w:val="center"/>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001-42045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86-3673636</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1525 O’Brien Drive Menlo Park, California 94025</w:t>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(833) 694-2553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878"/>
        <w:gridCol w:w="878"/>
        <w:gridCol w:w="1244"/>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Annual Meeting of Stockholders (“Annual Meeting”) of GRAIL, Inc. (the “Company”) was held on June 18, 2026. Of the 42,916,593 shares of the Company’s common stock entitled to vote at the Annual Meeting as of the April 22, 2026 record date, 35,076,394 shares were represented at the beginning of the meeting in person or by proxy, constituting a quorum. The following are voting results for the proposals considered and voted upon at the Annual Meeting, each of which were described in the Company’s Definitive Proxy Statement filed with the Securities and Exchange Commission on April 28,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Proposal 1: The Company’s stockholders elected two Class II Directors to serve until the Annual Meeting of Stockholder to be held in 2029 and until their successors are duly elected and qualified. The votes regarding the election of the directors were as follows:</w:t>
      </w:r>
    </w:p>
    <w:p>
      <w:pPr>
        <w:pStyle w:val="TextBody"/>
        <w:bidi w:val="0"/>
        <w:spacing w:before="0" w:after="0"/>
        <w:jc w:val="left"/>
        <w:rPr/>
      </w:pPr>
      <w:r>
        <w:rPr/>
      </w:r>
    </w:p>
    <w:tbl>
      <w:tblPr>
        <w:tblW w:w="4470" w:type="dxa"/>
        <w:jc w:val="left"/>
        <w:tblInd w:w="0" w:type="dxa"/>
        <w:tblLayout w:type="fixed"/>
        <w:tblCellMar>
          <w:top w:w="28" w:type="dxa"/>
          <w:left w:w="28" w:type="dxa"/>
          <w:bottom w:w="28" w:type="dxa"/>
          <w:right w:w="28" w:type="dxa"/>
        </w:tblCellMar>
      </w:tblPr>
      <w:tblGrid>
        <w:gridCol w:w="423"/>
        <w:gridCol w:w="370"/>
        <w:gridCol w:w="376"/>
        <w:gridCol w:w="304"/>
        <w:gridCol w:w="304"/>
        <w:gridCol w:w="308"/>
        <w:gridCol w:w="275"/>
        <w:gridCol w:w="275"/>
        <w:gridCol w:w="276"/>
        <w:gridCol w:w="455"/>
        <w:gridCol w:w="455"/>
        <w:gridCol w:w="649"/>
      </w:tblGrid>
      <w:tr>
        <w:trPr/>
        <w:tc>
          <w:tcPr>
            <w:tcW w:w="42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91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82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Withheld</w:t>
            </w:r>
          </w:p>
        </w:tc>
        <w:tc>
          <w:tcPr>
            <w:tcW w:w="155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1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Sarah Krevans</w:t>
            </w:r>
          </w:p>
        </w:tc>
        <w:tc>
          <w:tcPr>
            <w:tcW w:w="91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18,929,398</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2,972,804</w:t>
            </w:r>
          </w:p>
        </w:tc>
        <w:tc>
          <w:tcPr>
            <w:tcW w:w="155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13,174,192</w:t>
            </w:r>
          </w:p>
        </w:tc>
      </w:tr>
      <w:tr>
        <w:trPr/>
        <w:tc>
          <w:tcPr>
            <w:tcW w:w="116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Steven Mizell</w:t>
            </w:r>
          </w:p>
        </w:tc>
        <w:tc>
          <w:tcPr>
            <w:tcW w:w="91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16,998,081</w:t>
            </w:r>
          </w:p>
        </w:tc>
        <w:tc>
          <w:tcPr>
            <w:tcW w:w="82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4,904,121</w:t>
            </w:r>
          </w:p>
        </w:tc>
        <w:tc>
          <w:tcPr>
            <w:tcW w:w="155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13,174,192</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Proposal 2: The Company’s stockholders ratified the selection of Ernst &amp; Young LLP as the Company’s independent registered public accounting firm for the fiscal year ending December 31, 2026. The proposal received the following votes:</w:t>
      </w:r>
    </w:p>
    <w:p>
      <w:pPr>
        <w:pStyle w:val="TextBody"/>
        <w:bidi w:val="0"/>
        <w:spacing w:before="0" w:after="0"/>
        <w:jc w:val="left"/>
        <w:rPr/>
      </w:pPr>
      <w:r>
        <w:rPr/>
      </w:r>
    </w:p>
    <w:tbl>
      <w:tblPr>
        <w:tblW w:w="4710" w:type="dxa"/>
        <w:jc w:val="left"/>
        <w:tblInd w:w="0" w:type="dxa"/>
        <w:tblLayout w:type="fixed"/>
        <w:tblCellMar>
          <w:top w:w="28" w:type="dxa"/>
          <w:left w:w="28" w:type="dxa"/>
          <w:bottom w:w="28" w:type="dxa"/>
          <w:right w:w="28" w:type="dxa"/>
        </w:tblCellMar>
      </w:tblPr>
      <w:tblGrid>
        <w:gridCol w:w="336"/>
        <w:gridCol w:w="296"/>
        <w:gridCol w:w="299"/>
        <w:gridCol w:w="394"/>
        <w:gridCol w:w="394"/>
        <w:gridCol w:w="396"/>
        <w:gridCol w:w="345"/>
        <w:gridCol w:w="345"/>
        <w:gridCol w:w="346"/>
        <w:gridCol w:w="455"/>
        <w:gridCol w:w="455"/>
        <w:gridCol w:w="649"/>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Votes For</w:t>
            </w:r>
          </w:p>
        </w:tc>
        <w:tc>
          <w:tcPr>
            <w:tcW w:w="118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Votes Against</w:t>
            </w:r>
          </w:p>
        </w:tc>
        <w:tc>
          <w:tcPr>
            <w:tcW w:w="10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Abstentions</w:t>
            </w:r>
          </w:p>
        </w:tc>
        <w:tc>
          <w:tcPr>
            <w:tcW w:w="155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93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34,611,318</w:t>
            </w:r>
          </w:p>
        </w:tc>
        <w:tc>
          <w:tcPr>
            <w:tcW w:w="118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57,682</w:t>
            </w:r>
          </w:p>
        </w:tc>
        <w:tc>
          <w:tcPr>
            <w:tcW w:w="10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407,394</w:t>
            </w:r>
          </w:p>
        </w:tc>
        <w:tc>
          <w:tcPr>
            <w:tcW w:w="1559"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60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210"/>
        <w:gridCol w:w="210"/>
        <w:gridCol w:w="210"/>
        <w:gridCol w:w="826"/>
        <w:gridCol w:w="826"/>
        <w:gridCol w:w="11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GRAIL,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Abram Barth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Abram Barth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574</Words>
  <Characters>3316</Characters>
  <CharactersWithSpaces>3806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