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4617.xml.htm"/>
      <w:bookmarkStart w:id="1" w:name="kswkform4_17842346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MIZELL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GRAIL,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GRAIL,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42,830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268 deferred stock units granted to Mr. Mizell under our deferred stock program and 2024 Equity Incentive Plan in lieu of $19,945.21 of cash fees payable to Mr. Mizell for his service as a director, based on a price per share of $74.36, which was the closing price per share of the Company's common stock on July 15, 2026. The awards will vest immediately upon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/s/Donald Lang, as Attorney-in-Fact for Steven Mizell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403" TargetMode="External"/><Relationship Id="rId5" Type="http://schemas.openxmlformats.org/officeDocument/2006/relationships/hyperlink" Target="http://www.sec.gov/cgi-bin/browse-edgar?action=getcompany&amp;CIK=00016990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3373</Characters>
  <CharactersWithSpaces>3944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