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4637.xml.htm"/>
      <w:bookmarkStart w:id="1" w:name="kswkform4_17842346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CHASE WILLIAM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GRAIL,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GRAIL,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74.36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42,978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276 deferred stock units granted to Mr. Chase under our deferred stock program and 2024 Equity Incentive Plan in lieu of $20,568.49 of cash fees payable to Mr. Chase for his service as a director, based on a price per share of $74.36, which was the closing price per share of the Company's common stock on July 15, 2026. The awards will vest immediately upon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/s/Donald Lang, as Attorney-in-Fact for William Chase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3572" TargetMode="External"/><Relationship Id="rId5" Type="http://schemas.openxmlformats.org/officeDocument/2006/relationships/hyperlink" Target="http://www.sec.gov/cgi-bin/browse-edgar?action=getcompany&amp;CIK=00016990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3372</Characters>
  <CharactersWithSpaces>3944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